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6191" w14:textId="77777777" w:rsidR="001D4DBE" w:rsidRDefault="003C122E">
      <w:pPr>
        <w:pStyle w:val="Title"/>
      </w:pPr>
      <w:r>
        <w:t>Procurement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rPr>
          <w:spacing w:val="-2"/>
        </w:rPr>
        <w:t>Diversity</w:t>
      </w:r>
    </w:p>
    <w:p w14:paraId="5F2ADEDA" w14:textId="77777777" w:rsidR="001D4DBE" w:rsidRDefault="001D4DBE">
      <w:pPr>
        <w:pStyle w:val="BodyText"/>
        <w:spacing w:before="4"/>
        <w:rPr>
          <w:b/>
          <w:sz w:val="31"/>
        </w:rPr>
      </w:pPr>
    </w:p>
    <w:p w14:paraId="0AB42F9C" w14:textId="77777777" w:rsidR="001D4DBE" w:rsidRDefault="003C122E">
      <w:pPr>
        <w:pStyle w:val="BodyText"/>
        <w:spacing w:line="288" w:lineRule="auto"/>
        <w:ind w:left="100" w:right="479"/>
      </w:pPr>
      <w:r>
        <w:t>Companies increasingly understand the competitive advantage of using a broader choice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price,</w:t>
      </w:r>
      <w:r>
        <w:rPr>
          <w:spacing w:val="-4"/>
        </w:rPr>
        <w:t xml:space="preserve"> </w:t>
      </w:r>
      <w:r>
        <w:t>quality,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detail, and future relationship building. </w:t>
      </w:r>
      <w:proofErr w:type="gramStart"/>
      <w:r>
        <w:t>A number of</w:t>
      </w:r>
      <w:proofErr w:type="gramEnd"/>
      <w:r>
        <w:t xml:space="preserve"> entities have achieved success at broadening the range of available business options by increasing outreach to minority-owned and women-owned businesses.</w:t>
      </w:r>
    </w:p>
    <w:p w14:paraId="3D93220E" w14:textId="77777777" w:rsidR="001D4DBE" w:rsidRDefault="001D4DBE">
      <w:pPr>
        <w:pStyle w:val="BodyText"/>
        <w:spacing w:before="2"/>
        <w:rPr>
          <w:sz w:val="28"/>
        </w:rPr>
      </w:pPr>
    </w:p>
    <w:p w14:paraId="508E3745" w14:textId="77777777" w:rsidR="001D4DBE" w:rsidRDefault="003C122E">
      <w:pPr>
        <w:pStyle w:val="BodyText"/>
        <w:spacing w:line="288" w:lineRule="auto"/>
        <w:ind w:left="100" w:right="160"/>
      </w:pPr>
      <w:r>
        <w:t>Entities often use metrics to establish the bas</w:t>
      </w:r>
      <w:r>
        <w:t>eline of how much they spend on procuring goods and services and contracting for other business services, how much they spend with minority owned and women-owned businesses, the availability of relevant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women-owned</w:t>
      </w:r>
      <w:r>
        <w:rPr>
          <w:spacing w:val="-4"/>
        </w:rPr>
        <w:t xml:space="preserve"> </w:t>
      </w:r>
      <w:r>
        <w:t>businesses,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</w:t>
      </w:r>
      <w:r>
        <w:t>owth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over time. Similarly, entities can use outreach methods to inform minority-owned and</w:t>
      </w:r>
    </w:p>
    <w:p w14:paraId="7AEB3724" w14:textId="77777777" w:rsidR="001D4DBE" w:rsidRDefault="003C122E">
      <w:pPr>
        <w:pStyle w:val="BodyText"/>
        <w:spacing w:line="288" w:lineRule="auto"/>
        <w:ind w:left="100" w:right="139"/>
      </w:pPr>
      <w:r>
        <w:t>women-owned</w:t>
      </w:r>
      <w:r>
        <w:rPr>
          <w:spacing w:val="-5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affinity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constituencies)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availability of these opportunities and the mechanism used by the entit</w:t>
      </w:r>
      <w:r>
        <w:t xml:space="preserve">y for </w:t>
      </w:r>
      <w:r>
        <w:rPr>
          <w:spacing w:val="-2"/>
        </w:rPr>
        <w:t>procurement.</w:t>
      </w:r>
    </w:p>
    <w:p w14:paraId="2CAF618E" w14:textId="77777777" w:rsidR="001D4DBE" w:rsidRDefault="001D4DBE">
      <w:pPr>
        <w:pStyle w:val="BodyText"/>
        <w:spacing w:before="10"/>
        <w:rPr>
          <w:sz w:val="27"/>
        </w:rPr>
      </w:pPr>
    </w:p>
    <w:p w14:paraId="5F3E59A1" w14:textId="77777777" w:rsidR="001D4DBE" w:rsidRDefault="003C122E">
      <w:pPr>
        <w:pStyle w:val="BodyText"/>
        <w:spacing w:line="288" w:lineRule="auto"/>
        <w:ind w:left="100" w:right="225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entities’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obligations of various contracts. The use of minority-owned and women-owned businesses as subcontractors provides valuable opportunities for both the minority owned and</w:t>
      </w:r>
    </w:p>
    <w:p w14:paraId="7601558B" w14:textId="77777777" w:rsidR="001D4DBE" w:rsidRDefault="003C122E">
      <w:pPr>
        <w:pStyle w:val="BodyText"/>
        <w:spacing w:line="288" w:lineRule="auto"/>
        <w:ind w:left="100" w:right="160"/>
      </w:pPr>
      <w:r>
        <w:t>women-owned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can us</w:t>
      </w:r>
      <w:r>
        <w:t>e this opportunity to work with minority owned and women-owned businesses and can expand the prime contractor’s own capability under the contract. Entities can encourage the use of minority-owned and women owned subcontractors by incorporating this objecti</w:t>
      </w:r>
      <w:r>
        <w:t>ve in their business contracts.</w:t>
      </w:r>
    </w:p>
    <w:p w14:paraId="2C3BB074" w14:textId="77777777" w:rsidR="001D4DBE" w:rsidRDefault="001D4DBE">
      <w:pPr>
        <w:pStyle w:val="BodyText"/>
        <w:spacing w:before="10"/>
        <w:rPr>
          <w:sz w:val="27"/>
        </w:rPr>
      </w:pPr>
    </w:p>
    <w:p w14:paraId="08ED2ED5" w14:textId="77777777" w:rsidR="001D4DBE" w:rsidRDefault="003C122E">
      <w:pPr>
        <w:spacing w:before="1"/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Standards:</w:t>
      </w:r>
    </w:p>
    <w:p w14:paraId="0E2A48F2" w14:textId="77777777" w:rsidR="001D4DBE" w:rsidRDefault="003C122E">
      <w:pPr>
        <w:pStyle w:val="ListParagraph"/>
        <w:numPr>
          <w:ilvl w:val="0"/>
          <w:numId w:val="2"/>
        </w:numPr>
        <w:tabs>
          <w:tab w:val="left" w:pos="820"/>
        </w:tabs>
        <w:spacing w:before="54" w:line="288" w:lineRule="auto"/>
        <w:ind w:right="333"/>
        <w:rPr>
          <w:sz w:val="24"/>
        </w:rPr>
      </w:pPr>
      <w:r>
        <w:rPr>
          <w:sz w:val="24"/>
        </w:rPr>
        <w:t>The entity has a supplier diversity policy that provides for a fair opportunity for minority owned and women-owned businesses to compete in procurement of business goods and services. This includes contracts of a</w:t>
      </w:r>
      <w:r>
        <w:rPr>
          <w:sz w:val="24"/>
        </w:rPr>
        <w:t>ll types, including 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debt,</w:t>
      </w:r>
      <w:r>
        <w:rPr>
          <w:spacing w:val="-3"/>
          <w:sz w:val="24"/>
        </w:rPr>
        <w:t xml:space="preserve"> </w:t>
      </w:r>
      <w:r>
        <w:rPr>
          <w:sz w:val="24"/>
        </w:rPr>
        <w:t>equity,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security,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sale of assets, the management of assets of the entity and the making of equity investments by the entity.</w:t>
      </w:r>
    </w:p>
    <w:p w14:paraId="073D1BCC" w14:textId="77777777" w:rsidR="001D4DBE" w:rsidRDefault="001D4DBE">
      <w:pPr>
        <w:pStyle w:val="BodyText"/>
        <w:rPr>
          <w:sz w:val="28"/>
        </w:rPr>
      </w:pPr>
    </w:p>
    <w:p w14:paraId="4E601735" w14:textId="77777777" w:rsidR="001D4DBE" w:rsidRDefault="003C122E">
      <w:pPr>
        <w:pStyle w:val="ListParagraph"/>
        <w:numPr>
          <w:ilvl w:val="0"/>
          <w:numId w:val="2"/>
        </w:numPr>
        <w:tabs>
          <w:tab w:val="left" w:pos="820"/>
        </w:tabs>
        <w:spacing w:before="1" w:line="288" w:lineRule="auto"/>
        <w:ind w:right="29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diversity,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may include metrics and analytics related to:</w:t>
      </w:r>
    </w:p>
    <w:p w14:paraId="57672BA3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line="274" w:lineRule="exact"/>
        <w:rPr>
          <w:sz w:val="24"/>
        </w:rPr>
      </w:pPr>
      <w:r>
        <w:rPr>
          <w:sz w:val="24"/>
        </w:rPr>
        <w:t xml:space="preserve">Annual contract spending by the </w:t>
      </w:r>
      <w:proofErr w:type="gramStart"/>
      <w:r>
        <w:rPr>
          <w:spacing w:val="-2"/>
          <w:sz w:val="24"/>
        </w:rPr>
        <w:t>entity;</w:t>
      </w:r>
      <w:proofErr w:type="gramEnd"/>
    </w:p>
    <w:p w14:paraId="2C01EED2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before="54" w:line="288" w:lineRule="auto"/>
        <w:ind w:right="867"/>
        <w:rPr>
          <w:sz w:val="24"/>
        </w:rPr>
      </w:pP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spent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minority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business contractors by race, ethnicity, and </w:t>
      </w:r>
      <w:proofErr w:type="gramStart"/>
      <w:r>
        <w:rPr>
          <w:sz w:val="24"/>
        </w:rPr>
        <w:t>gender;</w:t>
      </w:r>
      <w:proofErr w:type="gramEnd"/>
    </w:p>
    <w:p w14:paraId="6133C9A0" w14:textId="77777777" w:rsidR="001D4DBE" w:rsidRDefault="001D4DBE">
      <w:pPr>
        <w:spacing w:line="288" w:lineRule="auto"/>
        <w:rPr>
          <w:sz w:val="24"/>
        </w:rPr>
        <w:sectPr w:rsidR="001D4DBE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1ACAE914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before="80" w:line="288" w:lineRule="auto"/>
        <w:ind w:right="187"/>
        <w:rPr>
          <w:sz w:val="24"/>
        </w:rPr>
      </w:pPr>
      <w:r>
        <w:rPr>
          <w:sz w:val="24"/>
        </w:rPr>
        <w:lastRenderedPageBreak/>
        <w:t>Percentage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contracts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minority-owned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women-owned</w:t>
      </w:r>
      <w:r>
        <w:rPr>
          <w:spacing w:val="-6"/>
          <w:sz w:val="24"/>
        </w:rPr>
        <w:t xml:space="preserve"> </w:t>
      </w:r>
      <w:r>
        <w:rPr>
          <w:sz w:val="24"/>
        </w:rPr>
        <w:t>business subcontracts; and</w:t>
      </w:r>
    </w:p>
    <w:p w14:paraId="755C5198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line="274" w:lineRule="exact"/>
        <w:rPr>
          <w:sz w:val="24"/>
        </w:rPr>
      </w:pPr>
      <w:r>
        <w:rPr>
          <w:sz w:val="24"/>
        </w:rPr>
        <w:t xml:space="preserve">Demographics of the workforce for contractors and </w:t>
      </w:r>
      <w:r>
        <w:rPr>
          <w:spacing w:val="-2"/>
          <w:sz w:val="24"/>
        </w:rPr>
        <w:t>subcontractors.</w:t>
      </w:r>
    </w:p>
    <w:p w14:paraId="71B3304C" w14:textId="77777777" w:rsidR="001D4DBE" w:rsidRDefault="001D4DBE">
      <w:pPr>
        <w:pStyle w:val="BodyText"/>
        <w:spacing w:before="4"/>
        <w:rPr>
          <w:sz w:val="33"/>
        </w:rPr>
      </w:pPr>
    </w:p>
    <w:p w14:paraId="0250CC06" w14:textId="77777777" w:rsidR="001D4DBE" w:rsidRDefault="003C122E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The entity has practices to promote a</w:t>
      </w:r>
      <w:r>
        <w:rPr>
          <w:sz w:val="24"/>
        </w:rPr>
        <w:t xml:space="preserve"> diverse supplier pool which may </w:t>
      </w:r>
      <w:r>
        <w:rPr>
          <w:spacing w:val="-2"/>
          <w:sz w:val="24"/>
        </w:rPr>
        <w:t>include:</w:t>
      </w:r>
    </w:p>
    <w:p w14:paraId="70AFB1C2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before="54" w:line="288" w:lineRule="auto"/>
        <w:ind w:right="1267"/>
        <w:rPr>
          <w:sz w:val="24"/>
        </w:rPr>
      </w:pP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minority-owned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women</w:t>
      </w:r>
      <w:r>
        <w:rPr>
          <w:spacing w:val="-6"/>
          <w:sz w:val="24"/>
        </w:rPr>
        <w:t xml:space="preserve"> </w:t>
      </w:r>
      <w:r>
        <w:rPr>
          <w:sz w:val="24"/>
        </w:rPr>
        <w:t>owned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representative </w:t>
      </w:r>
      <w:proofErr w:type="gramStart"/>
      <w:r>
        <w:rPr>
          <w:sz w:val="24"/>
        </w:rPr>
        <w:t>organizations;</w:t>
      </w:r>
      <w:proofErr w:type="gramEnd"/>
    </w:p>
    <w:p w14:paraId="1F43466F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line="288" w:lineRule="auto"/>
        <w:ind w:right="414"/>
        <w:rPr>
          <w:sz w:val="24"/>
        </w:rPr>
      </w:pPr>
      <w:r>
        <w:rPr>
          <w:sz w:val="24"/>
        </w:rPr>
        <w:t xml:space="preserve">Participation in conferences, </w:t>
      </w:r>
      <w:proofErr w:type="gramStart"/>
      <w:r>
        <w:rPr>
          <w:sz w:val="24"/>
        </w:rPr>
        <w:t>workshops</w:t>
      </w:r>
      <w:proofErr w:type="gramEnd"/>
      <w:r>
        <w:rPr>
          <w:sz w:val="24"/>
        </w:rPr>
        <w:t xml:space="preserve"> and other events to attract minority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women-owned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inform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contracting opportunities; and</w:t>
      </w:r>
    </w:p>
    <w:p w14:paraId="72F1CA8A" w14:textId="77777777" w:rsidR="001D4DBE" w:rsidRDefault="003C122E">
      <w:pPr>
        <w:pStyle w:val="ListParagraph"/>
        <w:numPr>
          <w:ilvl w:val="1"/>
          <w:numId w:val="2"/>
        </w:numPr>
        <w:tabs>
          <w:tab w:val="left" w:pos="1540"/>
        </w:tabs>
        <w:spacing w:line="272" w:lineRule="exact"/>
        <w:rPr>
          <w:sz w:val="24"/>
        </w:rPr>
      </w:pPr>
      <w:r>
        <w:rPr>
          <w:sz w:val="24"/>
        </w:rPr>
        <w:t xml:space="preserve">An ongoing process to publicize its procurement </w:t>
      </w:r>
      <w:r>
        <w:rPr>
          <w:spacing w:val="-2"/>
          <w:sz w:val="24"/>
        </w:rPr>
        <w:t>opportunities.</w:t>
      </w:r>
    </w:p>
    <w:p w14:paraId="40F41581" w14:textId="77777777" w:rsidR="001D4DBE" w:rsidRDefault="001D4DBE">
      <w:pPr>
        <w:pStyle w:val="BodyText"/>
        <w:rPr>
          <w:sz w:val="26"/>
        </w:rPr>
      </w:pPr>
    </w:p>
    <w:p w14:paraId="6EE9DBFD" w14:textId="77777777" w:rsidR="001D4DBE" w:rsidRDefault="001D4DBE">
      <w:pPr>
        <w:pStyle w:val="BodyText"/>
        <w:spacing w:before="3"/>
        <w:rPr>
          <w:sz w:val="33"/>
        </w:rPr>
      </w:pPr>
    </w:p>
    <w:p w14:paraId="1CA968DB" w14:textId="77777777" w:rsidR="001D4DBE" w:rsidRDefault="003C122E">
      <w:pPr>
        <w:pStyle w:val="BodyText"/>
        <w:ind w:left="100"/>
      </w:pPr>
      <w:r>
        <w:t>The assessment scores are based on t</w:t>
      </w:r>
      <w:r>
        <w:t xml:space="preserve">he following </w:t>
      </w:r>
      <w:r>
        <w:rPr>
          <w:spacing w:val="-2"/>
        </w:rPr>
        <w:t>scale:</w:t>
      </w:r>
    </w:p>
    <w:p w14:paraId="2A285B6C" w14:textId="77777777" w:rsidR="001D4DBE" w:rsidRDefault="003C122E">
      <w:pPr>
        <w:pStyle w:val="ListParagraph"/>
        <w:numPr>
          <w:ilvl w:val="0"/>
          <w:numId w:val="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 xml:space="preserve">No evidence or actions taken to address this in our </w:t>
      </w:r>
      <w:r>
        <w:rPr>
          <w:spacing w:val="-2"/>
          <w:sz w:val="24"/>
        </w:rPr>
        <w:t>workplace.</w:t>
      </w:r>
    </w:p>
    <w:p w14:paraId="69480B1C" w14:textId="77777777" w:rsidR="001D4DBE" w:rsidRDefault="001D4DBE">
      <w:pPr>
        <w:pStyle w:val="BodyText"/>
        <w:spacing w:before="5"/>
        <w:rPr>
          <w:sz w:val="33"/>
        </w:rPr>
      </w:pPr>
    </w:p>
    <w:p w14:paraId="0BDF18F3" w14:textId="77777777" w:rsidR="001D4DBE" w:rsidRDefault="003C122E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333"/>
        <w:rPr>
          <w:sz w:val="24"/>
        </w:rPr>
      </w:pP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workplace.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have initiated a discussion to address this.</w:t>
      </w:r>
    </w:p>
    <w:p w14:paraId="08CCEBB6" w14:textId="77777777" w:rsidR="001D4DBE" w:rsidRDefault="001D4DBE">
      <w:pPr>
        <w:pStyle w:val="BodyText"/>
        <w:spacing w:before="5"/>
        <w:rPr>
          <w:sz w:val="28"/>
        </w:rPr>
      </w:pPr>
    </w:p>
    <w:p w14:paraId="387B58E5" w14:textId="77777777" w:rsidR="001D4DBE" w:rsidRDefault="003C122E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Defined verbal and written standards in place to support this </w:t>
      </w:r>
      <w:r>
        <w:rPr>
          <w:spacing w:val="-2"/>
          <w:sz w:val="24"/>
        </w:rPr>
        <w:t>effort.</w:t>
      </w:r>
    </w:p>
    <w:p w14:paraId="6F0E105F" w14:textId="77777777" w:rsidR="001D4DBE" w:rsidRDefault="001D4DBE">
      <w:pPr>
        <w:pStyle w:val="BodyText"/>
        <w:spacing w:before="4"/>
        <w:rPr>
          <w:sz w:val="33"/>
        </w:rPr>
      </w:pPr>
    </w:p>
    <w:p w14:paraId="0996FBC9" w14:textId="77777777" w:rsidR="001D4DBE" w:rsidRDefault="003C122E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626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effort.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integrated</w:t>
      </w:r>
      <w:r>
        <w:rPr>
          <w:spacing w:val="-4"/>
          <w:sz w:val="24"/>
        </w:rPr>
        <w:t xml:space="preserve"> </w:t>
      </w:r>
      <w:r>
        <w:rPr>
          <w:sz w:val="24"/>
        </w:rPr>
        <w:t>into workplace norms.</w:t>
      </w:r>
    </w:p>
    <w:p w14:paraId="0045F776" w14:textId="77777777" w:rsidR="001D4DBE" w:rsidRDefault="001D4DBE">
      <w:pPr>
        <w:pStyle w:val="BodyText"/>
        <w:spacing w:before="6"/>
        <w:rPr>
          <w:sz w:val="28"/>
        </w:rPr>
      </w:pPr>
    </w:p>
    <w:p w14:paraId="17330824" w14:textId="77777777" w:rsidR="001D4DBE" w:rsidRDefault="003C122E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10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industry best practice. We can serve as role models and champions to other companies.</w:t>
      </w:r>
    </w:p>
    <w:p w14:paraId="1BCC0F3E" w14:textId="77777777" w:rsidR="001D4DBE" w:rsidRDefault="001D4DBE">
      <w:pPr>
        <w:pStyle w:val="BodyText"/>
        <w:rPr>
          <w:sz w:val="26"/>
        </w:rPr>
      </w:pPr>
    </w:p>
    <w:p w14:paraId="7E718E46" w14:textId="77777777" w:rsidR="001D4DBE" w:rsidRDefault="001D4DBE">
      <w:pPr>
        <w:pStyle w:val="BodyText"/>
        <w:rPr>
          <w:sz w:val="26"/>
        </w:rPr>
      </w:pPr>
    </w:p>
    <w:p w14:paraId="656C1428" w14:textId="77777777" w:rsidR="001D4DBE" w:rsidRDefault="001D4DBE">
      <w:pPr>
        <w:pStyle w:val="BodyText"/>
        <w:rPr>
          <w:sz w:val="26"/>
        </w:rPr>
      </w:pPr>
    </w:p>
    <w:p w14:paraId="7E4E1EC4" w14:textId="77777777" w:rsidR="001D4DBE" w:rsidRDefault="001D4DBE">
      <w:pPr>
        <w:pStyle w:val="BodyText"/>
        <w:rPr>
          <w:sz w:val="26"/>
        </w:rPr>
      </w:pPr>
    </w:p>
    <w:p w14:paraId="15FF360C" w14:textId="77777777" w:rsidR="001D4DBE" w:rsidRDefault="001D4DBE">
      <w:pPr>
        <w:pStyle w:val="BodyText"/>
        <w:spacing w:before="3"/>
        <w:rPr>
          <w:sz w:val="26"/>
        </w:rPr>
      </w:pPr>
    </w:p>
    <w:p w14:paraId="7AC9331D" w14:textId="77777777" w:rsidR="001D4DBE" w:rsidRDefault="003C122E">
      <w:pPr>
        <w:ind w:left="100"/>
        <w:rPr>
          <w:sz w:val="16"/>
        </w:rPr>
      </w:pPr>
      <w:r>
        <w:rPr>
          <w:spacing w:val="-2"/>
          <w:sz w:val="16"/>
        </w:rPr>
        <w:t>References</w:t>
      </w:r>
    </w:p>
    <w:p w14:paraId="13BAC7B0" w14:textId="77777777" w:rsidR="001D4DBE" w:rsidRDefault="001D4DBE">
      <w:pPr>
        <w:pStyle w:val="BodyText"/>
        <w:spacing w:before="1"/>
        <w:rPr>
          <w:sz w:val="23"/>
        </w:rPr>
      </w:pPr>
    </w:p>
    <w:p w14:paraId="7F8B70FE" w14:textId="77777777" w:rsidR="001D4DBE" w:rsidRDefault="003C122E">
      <w:pPr>
        <w:spacing w:line="508" w:lineRule="auto"/>
        <w:ind w:left="820" w:right="2874" w:hanging="720"/>
        <w:rPr>
          <w:sz w:val="16"/>
        </w:rPr>
      </w:pPr>
      <w:r>
        <w:rPr>
          <w:i/>
          <w:sz w:val="16"/>
        </w:rPr>
        <w:t>Diversity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Inclusion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Self-Assessment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(2016).</w:t>
      </w:r>
      <w:r>
        <w:rPr>
          <w:spacing w:val="-2"/>
          <w:sz w:val="16"/>
        </w:rPr>
        <w:t xml:space="preserve"> </w:t>
      </w:r>
      <w:r>
        <w:rPr>
          <w:sz w:val="16"/>
        </w:rPr>
        <w:t>VRM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VRM</w:t>
      </w:r>
      <w:r>
        <w:rPr>
          <w:spacing w:val="-2"/>
          <w:sz w:val="16"/>
        </w:rPr>
        <w:t xml:space="preserve"> </w:t>
      </w:r>
      <w:r>
        <w:rPr>
          <w:sz w:val="16"/>
        </w:rPr>
        <w:t>Mortgage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Services. </w:t>
      </w:r>
      <w:r>
        <w:rPr>
          <w:spacing w:val="-2"/>
          <w:sz w:val="16"/>
        </w:rPr>
        <w:t>https://vrmuniversity.com/wp-content/uploads/2016/11/DISelfAsses</w:t>
      </w:r>
      <w:r>
        <w:rPr>
          <w:spacing w:val="-2"/>
          <w:sz w:val="16"/>
        </w:rPr>
        <w:t>smentGuide.pdf</w:t>
      </w:r>
    </w:p>
    <w:sectPr w:rsidR="001D4DBE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2279"/>
    <w:multiLevelType w:val="hybridMultilevel"/>
    <w:tmpl w:val="49468A90"/>
    <w:lvl w:ilvl="0" w:tplc="1DE2C75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6A969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309A0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03EB0B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A2EA15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C04E7F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CD8A0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72C846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4C8642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E53744"/>
    <w:multiLevelType w:val="hybridMultilevel"/>
    <w:tmpl w:val="F022D1AA"/>
    <w:lvl w:ilvl="0" w:tplc="11EE494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16F52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D3097D6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BA4B96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3A60BE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7CE48A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BBBE16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9F8310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2B56F1B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CpfuL1DHsNvNKxIYerWhV0386avAzVrqpop/Bn0W56FpHeS4570sH14I6S9HsdFbr6KXBUfuTCg+kZx9EG7g==" w:salt="abOwUC5pg4jBxKkFzKaEO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DBE"/>
    <w:rsid w:val="001D4DBE"/>
    <w:rsid w:val="003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8523"/>
  <w15:docId w15:val="{4A04BB44-2BE8-4ED1-9521-25EE4BC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98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8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2022-12-15T20:47:00Z</dcterms:created>
  <dcterms:modified xsi:type="dcterms:W3CDTF">2023-02-15T15:36:00Z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m86</vt:lpwstr>
  </property>
</Properties>
</file>