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1F69" w14:textId="77777777" w:rsidR="00450AC1" w:rsidRDefault="00000000">
      <w:pPr>
        <w:pStyle w:val="Title"/>
      </w:pPr>
      <w:r>
        <w:t>Strategies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Promoting</w:t>
      </w:r>
      <w:r>
        <w:rPr>
          <w:spacing w:val="-12"/>
        </w:rPr>
        <w:t xml:space="preserve"> </w:t>
      </w:r>
      <w:r>
        <w:t>Equity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Promotion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2"/>
        </w:rPr>
        <w:t>Tenure</w:t>
      </w:r>
    </w:p>
    <w:p w14:paraId="0280E799" w14:textId="77777777" w:rsidR="00450AC1" w:rsidRDefault="00450AC1">
      <w:pPr>
        <w:pStyle w:val="BodyText"/>
        <w:ind w:firstLine="0"/>
        <w:rPr>
          <w:b/>
          <w:sz w:val="30"/>
        </w:rPr>
      </w:pPr>
    </w:p>
    <w:p w14:paraId="26419401" w14:textId="77777777" w:rsidR="00450AC1" w:rsidRDefault="00450AC1">
      <w:pPr>
        <w:pStyle w:val="BodyText"/>
        <w:spacing w:before="4"/>
        <w:ind w:firstLine="0"/>
        <w:rPr>
          <w:b/>
          <w:sz w:val="29"/>
        </w:rPr>
      </w:pPr>
    </w:p>
    <w:p w14:paraId="3CD79F6A" w14:textId="77777777" w:rsidR="00450AC1" w:rsidRDefault="00000000">
      <w:pPr>
        <w:pStyle w:val="ListParagraph"/>
        <w:numPr>
          <w:ilvl w:val="0"/>
          <w:numId w:val="2"/>
        </w:numPr>
        <w:tabs>
          <w:tab w:val="left" w:pos="820"/>
        </w:tabs>
        <w:spacing w:line="276" w:lineRule="auto"/>
        <w:ind w:right="362"/>
        <w:jc w:val="both"/>
        <w:rPr>
          <w:sz w:val="24"/>
        </w:rPr>
      </w:pP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overarching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2"/>
          <w:sz w:val="24"/>
        </w:rPr>
        <w:t xml:space="preserve"> </w:t>
      </w:r>
      <w:r>
        <w:rPr>
          <w:sz w:val="24"/>
        </w:rPr>
        <w:t>body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e.g.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The College)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centralized,</w:t>
      </w:r>
      <w:r>
        <w:rPr>
          <w:spacing w:val="-5"/>
          <w:sz w:val="24"/>
        </w:rPr>
        <w:t xml:space="preserve"> </w:t>
      </w:r>
      <w:r>
        <w:rPr>
          <w:sz w:val="24"/>
        </w:rPr>
        <w:t>easily</w:t>
      </w:r>
      <w:r>
        <w:rPr>
          <w:spacing w:val="-5"/>
          <w:sz w:val="24"/>
        </w:rPr>
        <w:t xml:space="preserve"> </w:t>
      </w:r>
      <w:r>
        <w:rPr>
          <w:sz w:val="24"/>
        </w:rPr>
        <w:t>accessible,</w:t>
      </w:r>
      <w:r>
        <w:rPr>
          <w:spacing w:val="-5"/>
          <w:sz w:val="24"/>
        </w:rPr>
        <w:t xml:space="preserve"> </w:t>
      </w:r>
      <w:r>
        <w:rPr>
          <w:sz w:val="24"/>
        </w:rPr>
        <w:t>resource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specifically outlines the criteria for advancement, promotion and tenure.</w:t>
      </w:r>
    </w:p>
    <w:p w14:paraId="370B8711" w14:textId="77777777" w:rsidR="00450AC1" w:rsidRDefault="00450AC1">
      <w:pPr>
        <w:pStyle w:val="BodyText"/>
        <w:spacing w:before="6"/>
        <w:ind w:firstLine="0"/>
        <w:rPr>
          <w:sz w:val="27"/>
        </w:rPr>
      </w:pPr>
    </w:p>
    <w:p w14:paraId="50495DAF" w14:textId="77777777" w:rsidR="00450AC1" w:rsidRDefault="00000000">
      <w:pPr>
        <w:pStyle w:val="BodyText"/>
        <w:ind w:left="820" w:firstLine="0"/>
      </w:pPr>
      <w:r>
        <w:rPr>
          <w:spacing w:val="-2"/>
        </w:rPr>
        <w:t>Examples:</w:t>
      </w:r>
    </w:p>
    <w:p w14:paraId="299BD97E" w14:textId="77777777" w:rsidR="00450AC1" w:rsidRDefault="00000000">
      <w:pPr>
        <w:pStyle w:val="ListParagraph"/>
        <w:numPr>
          <w:ilvl w:val="1"/>
          <w:numId w:val="2"/>
        </w:numPr>
        <w:tabs>
          <w:tab w:val="left" w:pos="1540"/>
        </w:tabs>
        <w:spacing w:before="42"/>
        <w:rPr>
          <w:sz w:val="24"/>
        </w:rPr>
      </w:pPr>
      <w:r>
        <w:rPr>
          <w:sz w:val="24"/>
        </w:rPr>
        <w:t>Potential</w:t>
      </w:r>
      <w:r>
        <w:rPr>
          <w:spacing w:val="-7"/>
          <w:sz w:val="24"/>
        </w:rPr>
        <w:t xml:space="preserve"> </w:t>
      </w:r>
      <w:r>
        <w:rPr>
          <w:sz w:val="24"/>
        </w:rPr>
        <w:t>example/model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Guidelines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Promotion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Tenure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</w:t>
      </w:r>
      <w:hyperlink r:id="rId5">
        <w:r>
          <w:rPr>
            <w:color w:val="1154CC"/>
            <w:spacing w:val="-2"/>
            <w:sz w:val="24"/>
            <w:u w:val="single" w:color="1154CC"/>
          </w:rPr>
          <w:t>source</w:t>
        </w:r>
      </w:hyperlink>
      <w:r>
        <w:rPr>
          <w:spacing w:val="-2"/>
          <w:sz w:val="24"/>
        </w:rPr>
        <w:t>)</w:t>
      </w:r>
    </w:p>
    <w:p w14:paraId="5AF38539" w14:textId="77777777" w:rsidR="00450AC1" w:rsidRDefault="00000000">
      <w:pPr>
        <w:pStyle w:val="ListParagraph"/>
        <w:numPr>
          <w:ilvl w:val="1"/>
          <w:numId w:val="2"/>
        </w:numPr>
        <w:tabs>
          <w:tab w:val="left" w:pos="1540"/>
        </w:tabs>
        <w:spacing w:before="41"/>
        <w:rPr>
          <w:sz w:val="24"/>
        </w:rPr>
      </w:pPr>
      <w:r>
        <w:rPr>
          <w:sz w:val="24"/>
        </w:rPr>
        <w:t>Promotion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Tenure</w:t>
      </w:r>
      <w:r>
        <w:rPr>
          <w:spacing w:val="-3"/>
          <w:sz w:val="24"/>
        </w:rPr>
        <w:t xml:space="preserve"> </w:t>
      </w:r>
      <w:r>
        <w:rPr>
          <w:sz w:val="24"/>
        </w:rPr>
        <w:t>Toolkit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</w:t>
      </w:r>
      <w:hyperlink r:id="rId6">
        <w:r>
          <w:rPr>
            <w:color w:val="1154CC"/>
            <w:spacing w:val="-2"/>
            <w:sz w:val="24"/>
            <w:u w:val="single" w:color="1154CC"/>
          </w:rPr>
          <w:t>source</w:t>
        </w:r>
      </w:hyperlink>
      <w:r>
        <w:rPr>
          <w:spacing w:val="-2"/>
          <w:sz w:val="24"/>
        </w:rPr>
        <w:t>)</w:t>
      </w:r>
    </w:p>
    <w:p w14:paraId="4B4ABC5D" w14:textId="77777777" w:rsidR="00450AC1" w:rsidRDefault="00450AC1">
      <w:pPr>
        <w:pStyle w:val="BodyText"/>
        <w:spacing w:before="2"/>
        <w:ind w:firstLine="0"/>
        <w:rPr>
          <w:sz w:val="23"/>
        </w:rPr>
      </w:pPr>
    </w:p>
    <w:p w14:paraId="0D2921C4" w14:textId="77777777" w:rsidR="00450AC1" w:rsidRDefault="00000000">
      <w:pPr>
        <w:pStyle w:val="ListParagraph"/>
        <w:numPr>
          <w:ilvl w:val="0"/>
          <w:numId w:val="2"/>
        </w:numPr>
        <w:tabs>
          <w:tab w:val="left" w:pos="820"/>
        </w:tabs>
        <w:spacing w:before="92" w:line="276" w:lineRule="auto"/>
        <w:ind w:left="819" w:right="229"/>
        <w:rPr>
          <w:sz w:val="24"/>
        </w:rPr>
      </w:pP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periodically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patterns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faculty</w:t>
      </w:r>
      <w:r>
        <w:rPr>
          <w:spacing w:val="-2"/>
          <w:sz w:val="24"/>
        </w:rPr>
        <w:t xml:space="preserve"> </w:t>
      </w:r>
      <w:r>
        <w:rPr>
          <w:sz w:val="24"/>
        </w:rPr>
        <w:t>advancement through the promotion</w:t>
      </w:r>
      <w:r>
        <w:rPr>
          <w:spacing w:val="-1"/>
          <w:sz w:val="24"/>
        </w:rPr>
        <w:t xml:space="preserve"> </w:t>
      </w:r>
      <w:r>
        <w:rPr>
          <w:sz w:val="24"/>
        </w:rPr>
        <w:t>and tenure process, as well as the dynamics surrounding those patterns.</w:t>
      </w:r>
      <w:r>
        <w:rPr>
          <w:spacing w:val="40"/>
          <w:sz w:val="24"/>
        </w:rPr>
        <w:t xml:space="preserve"> </w:t>
      </w:r>
      <w:r>
        <w:rPr>
          <w:sz w:val="24"/>
        </w:rPr>
        <w:t>For example, 1) How are individuals with diverse identities, namely URMs, made aware of the criteria for advancement, throughout their appointment</w:t>
      </w:r>
      <w:r>
        <w:rPr>
          <w:spacing w:val="-4"/>
          <w:sz w:val="24"/>
        </w:rPr>
        <w:t xml:space="preserve"> </w:t>
      </w:r>
      <w:r>
        <w:rPr>
          <w:sz w:val="24"/>
        </w:rPr>
        <w:t>timelines,</w:t>
      </w:r>
      <w:r>
        <w:rPr>
          <w:spacing w:val="-4"/>
          <w:sz w:val="24"/>
        </w:rPr>
        <w:t xml:space="preserve"> </w:t>
      </w:r>
      <w:r>
        <w:rPr>
          <w:sz w:val="24"/>
        </w:rPr>
        <w:t>2)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diverse</w:t>
      </w:r>
      <w:r>
        <w:rPr>
          <w:spacing w:val="-4"/>
          <w:sz w:val="24"/>
        </w:rPr>
        <w:t xml:space="preserve"> </w:t>
      </w:r>
      <w:r>
        <w:rPr>
          <w:sz w:val="24"/>
        </w:rPr>
        <w:t>identities</w:t>
      </w:r>
      <w:r>
        <w:rPr>
          <w:spacing w:val="-4"/>
          <w:sz w:val="24"/>
        </w:rPr>
        <w:t xml:space="preserve"> </w:t>
      </w:r>
      <w:r>
        <w:rPr>
          <w:sz w:val="24"/>
        </w:rPr>
        <w:t>assessed</w:t>
      </w:r>
      <w:r>
        <w:rPr>
          <w:spacing w:val="-4"/>
          <w:sz w:val="24"/>
        </w:rPr>
        <w:t xml:space="preserve"> </w:t>
      </w:r>
      <w:r>
        <w:rPr>
          <w:sz w:val="24"/>
        </w:rPr>
        <w:t>in their performance, and what are the outcomes of those performance reviews, relative to majority individuals, 3) How are individuals with different academic goals valued equally (e.g., tenure vs non-tenure track, those doing DEI or community-engaged work, etc.)).</w:t>
      </w:r>
    </w:p>
    <w:p w14:paraId="7E0117D8" w14:textId="77777777" w:rsidR="00450AC1" w:rsidRDefault="00450AC1">
      <w:pPr>
        <w:pStyle w:val="BodyText"/>
        <w:spacing w:before="7"/>
        <w:ind w:firstLine="0"/>
        <w:rPr>
          <w:sz w:val="27"/>
        </w:rPr>
      </w:pPr>
    </w:p>
    <w:p w14:paraId="0AFCA9CA" w14:textId="77777777" w:rsidR="00450AC1" w:rsidRDefault="00000000">
      <w:pPr>
        <w:pStyle w:val="Heading1"/>
        <w:spacing w:before="1"/>
        <w:ind w:left="3285" w:right="3285"/>
        <w:jc w:val="center"/>
      </w:pPr>
      <w:r>
        <w:rPr>
          <w:u w:val="single"/>
        </w:rPr>
        <w:t>Other</w:t>
      </w:r>
      <w:r>
        <w:rPr>
          <w:spacing w:val="-5"/>
          <w:u w:val="single"/>
        </w:rPr>
        <w:t xml:space="preserve"> </w:t>
      </w:r>
      <w:r>
        <w:rPr>
          <w:u w:val="single"/>
        </w:rPr>
        <w:t>Factors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-2"/>
          <w:u w:val="single"/>
        </w:rPr>
        <w:t xml:space="preserve"> Consider</w:t>
      </w:r>
    </w:p>
    <w:p w14:paraId="1A0A68A7" w14:textId="77777777" w:rsidR="00450AC1" w:rsidRDefault="00450AC1">
      <w:pPr>
        <w:pStyle w:val="BodyText"/>
        <w:spacing w:before="2"/>
        <w:ind w:firstLine="0"/>
        <w:rPr>
          <w:b/>
          <w:sz w:val="23"/>
        </w:rPr>
      </w:pPr>
    </w:p>
    <w:p w14:paraId="1C5D7FF9" w14:textId="77777777" w:rsidR="00450AC1" w:rsidRDefault="00000000">
      <w:pPr>
        <w:spacing w:before="92"/>
        <w:ind w:left="100"/>
        <w:rPr>
          <w:b/>
          <w:sz w:val="24"/>
        </w:rPr>
      </w:pPr>
      <w:r>
        <w:rPr>
          <w:b/>
          <w:sz w:val="24"/>
        </w:rPr>
        <w:t>Invisible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Labor</w:t>
      </w:r>
    </w:p>
    <w:p w14:paraId="4A033ADD" w14:textId="77777777" w:rsidR="00450AC1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2" w:line="276" w:lineRule="auto"/>
        <w:ind w:right="118"/>
        <w:rPr>
          <w:sz w:val="24"/>
        </w:rPr>
      </w:pPr>
      <w:r>
        <w:rPr>
          <w:sz w:val="24"/>
          <w:u w:val="single"/>
        </w:rPr>
        <w:t>Definition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unseen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uncompensated</w:t>
      </w:r>
      <w:r>
        <w:rPr>
          <w:spacing w:val="-4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5"/>
          <w:sz w:val="24"/>
        </w:rPr>
        <w:t xml:space="preserve"> </w:t>
      </w:r>
      <w:r>
        <w:rPr>
          <w:sz w:val="24"/>
        </w:rPr>
        <w:t>taken on by underrepresented minority faculty. This could include, for example, mentoring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similar</w:t>
      </w:r>
      <w:r>
        <w:rPr>
          <w:spacing w:val="-4"/>
          <w:sz w:val="24"/>
        </w:rPr>
        <w:t xml:space="preserve"> </w:t>
      </w:r>
      <w:r>
        <w:rPr>
          <w:sz w:val="24"/>
        </w:rPr>
        <w:t>backgrounds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identities</w:t>
      </w:r>
      <w:r>
        <w:rPr>
          <w:spacing w:val="-4"/>
          <w:sz w:val="24"/>
        </w:rPr>
        <w:t xml:space="preserve"> </w:t>
      </w:r>
      <w:r>
        <w:rPr>
          <w:sz w:val="24"/>
        </w:rPr>
        <w:t>outside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advising position, legitimating one’s research, and/or navigating ethno-racial </w:t>
      </w:r>
      <w:r>
        <w:rPr>
          <w:spacing w:val="-2"/>
          <w:sz w:val="24"/>
        </w:rPr>
        <w:t>microaggressions.</w:t>
      </w:r>
    </w:p>
    <w:p w14:paraId="78F60E18" w14:textId="77777777" w:rsidR="00450AC1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6" w:lineRule="auto"/>
        <w:ind w:right="442"/>
        <w:rPr>
          <w:sz w:val="24"/>
        </w:rPr>
      </w:pPr>
      <w:r>
        <w:rPr>
          <w:sz w:val="24"/>
          <w:u w:val="single"/>
        </w:rPr>
        <w:t>Significance</w:t>
      </w:r>
      <w:r>
        <w:rPr>
          <w:sz w:val="24"/>
        </w:rPr>
        <w:t>: Though these responsibilities can take up a large portion of faculty’s time and mental/emotional/spiritual capacity, they are seldom recognized and even less so compensated. For example, URM faculty’s mentorship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outside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formal</w:t>
      </w:r>
      <w:r>
        <w:rPr>
          <w:spacing w:val="-4"/>
          <w:sz w:val="24"/>
        </w:rPr>
        <w:t xml:space="preserve"> </w:t>
      </w:r>
      <w:r>
        <w:rPr>
          <w:sz w:val="24"/>
        </w:rPr>
        <w:t>advising</w:t>
      </w:r>
      <w:r>
        <w:rPr>
          <w:spacing w:val="-4"/>
          <w:sz w:val="24"/>
        </w:rPr>
        <w:t xml:space="preserve"> </w:t>
      </w:r>
      <w:r>
        <w:rPr>
          <w:sz w:val="24"/>
        </w:rPr>
        <w:t>role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often</w:t>
      </w:r>
      <w:r>
        <w:rPr>
          <w:spacing w:val="-4"/>
          <w:sz w:val="24"/>
        </w:rPr>
        <w:t xml:space="preserve"> </w:t>
      </w:r>
      <w:r>
        <w:rPr>
          <w:sz w:val="24"/>
        </w:rPr>
        <w:t>overlooked when being reviewed for career advancement.</w:t>
      </w:r>
    </w:p>
    <w:p w14:paraId="12879872" w14:textId="77777777" w:rsidR="00450AC1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6" w:lineRule="auto"/>
        <w:ind w:right="148"/>
        <w:rPr>
          <w:sz w:val="24"/>
        </w:rPr>
      </w:pPr>
      <w:r>
        <w:rPr>
          <w:sz w:val="24"/>
          <w:u w:val="single"/>
        </w:rPr>
        <w:t>Recommendations</w:t>
      </w:r>
      <w:r>
        <w:rPr>
          <w:sz w:val="24"/>
        </w:rPr>
        <w:t>: Departments should acknowledge and validate the invisible labor URM faculty expends by formally including it in considerations of tenure/promotion. Departments should also mitigate the weight URM faculty endure</w:t>
      </w:r>
      <w:r>
        <w:rPr>
          <w:spacing w:val="-4"/>
          <w:sz w:val="24"/>
        </w:rPr>
        <w:t xml:space="preserve"> </w:t>
      </w:r>
      <w:r>
        <w:rPr>
          <w:sz w:val="24"/>
        </w:rPr>
        <w:t>by,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example,</w:t>
      </w:r>
      <w:r>
        <w:rPr>
          <w:spacing w:val="-4"/>
          <w:sz w:val="24"/>
        </w:rPr>
        <w:t xml:space="preserve"> </w:t>
      </w:r>
      <w:r>
        <w:rPr>
          <w:sz w:val="24"/>
        </w:rPr>
        <w:t>working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URM</w:t>
      </w:r>
      <w:r>
        <w:rPr>
          <w:spacing w:val="-3"/>
          <w:sz w:val="24"/>
        </w:rPr>
        <w:t xml:space="preserve"> </w:t>
      </w:r>
      <w:r>
        <w:rPr>
          <w:sz w:val="24"/>
        </w:rPr>
        <w:t>student support services, or to implement bias training within the department/institution.</w:t>
      </w:r>
    </w:p>
    <w:p w14:paraId="76F00C47" w14:textId="77777777" w:rsidR="00450AC1" w:rsidRDefault="00450AC1">
      <w:pPr>
        <w:spacing w:line="276" w:lineRule="auto"/>
        <w:rPr>
          <w:sz w:val="24"/>
        </w:rPr>
        <w:sectPr w:rsidR="00450AC1">
          <w:type w:val="continuous"/>
          <w:pgSz w:w="12240" w:h="15840"/>
          <w:pgMar w:top="1380" w:right="1340" w:bottom="280" w:left="1340" w:header="720" w:footer="720" w:gutter="0"/>
          <w:cols w:space="720"/>
        </w:sectPr>
      </w:pPr>
    </w:p>
    <w:p w14:paraId="7213E8D7" w14:textId="77777777" w:rsidR="00450AC1" w:rsidRDefault="00000000">
      <w:pPr>
        <w:pStyle w:val="Heading1"/>
        <w:spacing w:before="80"/>
      </w:pPr>
      <w:r>
        <w:rPr>
          <w:spacing w:val="-2"/>
        </w:rPr>
        <w:lastRenderedPageBreak/>
        <w:t>Mentorship</w:t>
      </w:r>
    </w:p>
    <w:p w14:paraId="00D8736D" w14:textId="77777777" w:rsidR="00450AC1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1"/>
        <w:rPr>
          <w:sz w:val="24"/>
        </w:rPr>
      </w:pPr>
      <w:r>
        <w:rPr>
          <w:sz w:val="24"/>
          <w:u w:val="single"/>
        </w:rPr>
        <w:t>Definition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mentee</w:t>
      </w:r>
      <w:r>
        <w:rPr>
          <w:spacing w:val="-3"/>
          <w:sz w:val="24"/>
        </w:rPr>
        <w:t xml:space="preserve"> </w:t>
      </w:r>
      <w:r>
        <w:rPr>
          <w:sz w:val="24"/>
        </w:rPr>
        <w:t>receives</w:t>
      </w:r>
      <w:r>
        <w:rPr>
          <w:spacing w:val="-2"/>
          <w:sz w:val="24"/>
        </w:rPr>
        <w:t xml:space="preserve"> </w:t>
      </w:r>
      <w:r>
        <w:rPr>
          <w:sz w:val="24"/>
        </w:rPr>
        <w:t>guidance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mentor.</w:t>
      </w:r>
    </w:p>
    <w:p w14:paraId="0AD0BEB2" w14:textId="77777777" w:rsidR="00450AC1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2" w:line="276" w:lineRule="auto"/>
        <w:ind w:right="468"/>
        <w:rPr>
          <w:sz w:val="24"/>
        </w:rPr>
      </w:pPr>
      <w:r>
        <w:rPr>
          <w:sz w:val="24"/>
          <w:u w:val="single"/>
        </w:rPr>
        <w:t>Significance</w:t>
      </w:r>
      <w:r>
        <w:rPr>
          <w:sz w:val="24"/>
        </w:rPr>
        <w:t>: Mentorship increases the exposure URM faculty can get to promotion/tenure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terms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acculturation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department/academic</w:t>
      </w:r>
      <w:r>
        <w:rPr>
          <w:spacing w:val="-5"/>
          <w:sz w:val="24"/>
        </w:rPr>
        <w:t xml:space="preserve"> </w:t>
      </w:r>
      <w:r>
        <w:rPr>
          <w:sz w:val="24"/>
        </w:rPr>
        <w:t>norms</w:t>
      </w:r>
      <w:r>
        <w:rPr>
          <w:spacing w:val="-5"/>
          <w:sz w:val="24"/>
        </w:rPr>
        <w:t xml:space="preserve"> </w:t>
      </w:r>
      <w:r>
        <w:rPr>
          <w:sz w:val="24"/>
        </w:rPr>
        <w:t>and expanding professional networks.</w:t>
      </w:r>
    </w:p>
    <w:p w14:paraId="05305895" w14:textId="77777777" w:rsidR="00450AC1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6" w:lineRule="auto"/>
        <w:ind w:right="589"/>
        <w:rPr>
          <w:sz w:val="24"/>
        </w:rPr>
      </w:pPr>
      <w:r>
        <w:rPr>
          <w:sz w:val="24"/>
          <w:u w:val="single"/>
        </w:rPr>
        <w:t>Recommendations</w:t>
      </w:r>
      <w:r>
        <w:rPr>
          <w:sz w:val="24"/>
        </w:rPr>
        <w:t>: Departments should implement an equitable mentorship program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focuses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connecting</w:t>
      </w:r>
      <w:r>
        <w:rPr>
          <w:spacing w:val="-4"/>
          <w:sz w:val="24"/>
        </w:rPr>
        <w:t xml:space="preserve"> </w:t>
      </w:r>
      <w:r>
        <w:rPr>
          <w:sz w:val="24"/>
        </w:rPr>
        <w:t>senior</w:t>
      </w:r>
      <w:r>
        <w:rPr>
          <w:spacing w:val="-4"/>
          <w:sz w:val="24"/>
        </w:rPr>
        <w:t xml:space="preserve"> </w:t>
      </w:r>
      <w:r>
        <w:rPr>
          <w:sz w:val="24"/>
        </w:rPr>
        <w:t>URM</w:t>
      </w:r>
      <w:r>
        <w:rPr>
          <w:spacing w:val="-3"/>
          <w:sz w:val="24"/>
        </w:rPr>
        <w:t xml:space="preserve"> </w:t>
      </w:r>
      <w:r>
        <w:rPr>
          <w:sz w:val="24"/>
        </w:rPr>
        <w:t>faculty</w:t>
      </w:r>
      <w:r>
        <w:rPr>
          <w:spacing w:val="-5"/>
          <w:sz w:val="24"/>
        </w:rPr>
        <w:t xml:space="preserve"> </w:t>
      </w:r>
      <w:r>
        <w:rPr>
          <w:sz w:val="24"/>
        </w:rPr>
        <w:t>members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newly recruited URM faculty. Such a program should offer support for URM faculty members at all levels of promotion, not just for assistant professors.</w:t>
      </w:r>
    </w:p>
    <w:p w14:paraId="2AC307A9" w14:textId="77777777" w:rsidR="00450AC1" w:rsidRDefault="00450AC1">
      <w:pPr>
        <w:pStyle w:val="BodyText"/>
        <w:spacing w:before="7"/>
        <w:ind w:firstLine="0"/>
        <w:rPr>
          <w:sz w:val="27"/>
        </w:rPr>
      </w:pPr>
    </w:p>
    <w:p w14:paraId="1709B115" w14:textId="77777777" w:rsidR="00450AC1" w:rsidRDefault="00000000">
      <w:pPr>
        <w:pStyle w:val="Heading1"/>
      </w:pPr>
      <w:r>
        <w:rPr>
          <w:spacing w:val="-2"/>
        </w:rPr>
        <w:t>Opportunities</w:t>
      </w:r>
    </w:p>
    <w:p w14:paraId="69DB23D1" w14:textId="77777777" w:rsidR="00450AC1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1"/>
        <w:rPr>
          <w:sz w:val="24"/>
        </w:rPr>
      </w:pPr>
      <w:r>
        <w:rPr>
          <w:sz w:val="24"/>
          <w:u w:val="single"/>
        </w:rPr>
        <w:t>Definition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possible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achieve</w:t>
      </w:r>
      <w:r>
        <w:rPr>
          <w:spacing w:val="-2"/>
          <w:sz w:val="24"/>
        </w:rPr>
        <w:t xml:space="preserve"> something.</w:t>
      </w:r>
    </w:p>
    <w:p w14:paraId="16F9FF6D" w14:textId="77777777" w:rsidR="00450AC1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2" w:line="276" w:lineRule="auto"/>
        <w:ind w:left="819" w:right="107"/>
        <w:rPr>
          <w:sz w:val="24"/>
        </w:rPr>
      </w:pPr>
      <w:r>
        <w:rPr>
          <w:sz w:val="24"/>
          <w:u w:val="single"/>
        </w:rPr>
        <w:t>Significance</w:t>
      </w:r>
      <w:r>
        <w:rPr>
          <w:sz w:val="24"/>
        </w:rPr>
        <w:t>: Because URM faculty have historically been disadvantaged in</w:t>
      </w:r>
      <w:r>
        <w:rPr>
          <w:spacing w:val="40"/>
          <w:sz w:val="24"/>
        </w:rPr>
        <w:t xml:space="preserve"> </w:t>
      </w:r>
      <w:r>
        <w:rPr>
          <w:sz w:val="24"/>
        </w:rPr>
        <w:t>terms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promotion/tenure,</w:t>
      </w:r>
      <w:r>
        <w:rPr>
          <w:spacing w:val="-5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boost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6"/>
          <w:sz w:val="24"/>
        </w:rPr>
        <w:t xml:space="preserve"> </w:t>
      </w:r>
      <w:r>
        <w:rPr>
          <w:sz w:val="24"/>
        </w:rPr>
        <w:t>visibility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enlivenment within the department can go a long way in securing their advancement. Opportunities could look like, for example, the chance to participate in and support affinity organizations (e.g., a race-based organization, or one focused on disability justice), the space/time to become published, and/or funding made available to URM faculty members to attend conferences, workshops, and other professional development activities.</w:t>
      </w:r>
    </w:p>
    <w:p w14:paraId="0FC8C960" w14:textId="77777777" w:rsidR="00450AC1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6" w:lineRule="auto"/>
        <w:ind w:right="670"/>
        <w:rPr>
          <w:i/>
          <w:sz w:val="24"/>
        </w:rPr>
      </w:pPr>
      <w:r>
        <w:rPr>
          <w:sz w:val="24"/>
          <w:u w:val="single"/>
        </w:rPr>
        <w:t>Recommendations</w:t>
      </w:r>
      <w:r>
        <w:rPr>
          <w:sz w:val="24"/>
        </w:rPr>
        <w:t>: Departments should create systematic ways to provide opportunities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URM</w:t>
      </w:r>
      <w:r>
        <w:rPr>
          <w:spacing w:val="-6"/>
          <w:sz w:val="24"/>
        </w:rPr>
        <w:t xml:space="preserve"> </w:t>
      </w:r>
      <w:r>
        <w:rPr>
          <w:sz w:val="24"/>
        </w:rPr>
        <w:t>faculty.</w:t>
      </w:r>
      <w:r>
        <w:rPr>
          <w:spacing w:val="-5"/>
          <w:sz w:val="24"/>
        </w:rPr>
        <w:t xml:space="preserve"> </w:t>
      </w:r>
      <w:r>
        <w:rPr>
          <w:sz w:val="24"/>
        </w:rPr>
        <w:t>See</w:t>
      </w:r>
      <w:r>
        <w:rPr>
          <w:spacing w:val="-5"/>
          <w:sz w:val="24"/>
        </w:rPr>
        <w:t xml:space="preserve"> </w:t>
      </w:r>
      <w:r>
        <w:rPr>
          <w:sz w:val="24"/>
        </w:rPr>
        <w:t>tools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REPRESENTATION,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CLIMATE, AND RECRUITMENT AND RETENTION</w:t>
      </w:r>
    </w:p>
    <w:p w14:paraId="24E21402" w14:textId="77777777" w:rsidR="00450AC1" w:rsidRDefault="00450AC1">
      <w:pPr>
        <w:pStyle w:val="BodyText"/>
        <w:spacing w:before="6"/>
        <w:ind w:firstLine="0"/>
        <w:rPr>
          <w:i/>
          <w:sz w:val="27"/>
        </w:rPr>
      </w:pPr>
    </w:p>
    <w:p w14:paraId="10266A0B" w14:textId="77777777" w:rsidR="00450AC1" w:rsidRDefault="00000000">
      <w:pPr>
        <w:spacing w:before="1"/>
        <w:ind w:left="100"/>
        <w:rPr>
          <w:sz w:val="16"/>
        </w:rPr>
      </w:pPr>
      <w:r>
        <w:rPr>
          <w:spacing w:val="-2"/>
          <w:sz w:val="16"/>
        </w:rPr>
        <w:t>Resources</w:t>
      </w:r>
    </w:p>
    <w:p w14:paraId="2CBEEF41" w14:textId="77777777" w:rsidR="00450AC1" w:rsidRDefault="00450AC1">
      <w:pPr>
        <w:pStyle w:val="BodyText"/>
        <w:ind w:firstLine="0"/>
        <w:rPr>
          <w:sz w:val="16"/>
        </w:rPr>
      </w:pPr>
    </w:p>
    <w:p w14:paraId="33ED607D" w14:textId="77777777" w:rsidR="00450AC1" w:rsidRDefault="00000000">
      <w:pPr>
        <w:spacing w:line="480" w:lineRule="auto"/>
        <w:ind w:left="979" w:right="666" w:hanging="440"/>
        <w:rPr>
          <w:sz w:val="16"/>
        </w:rPr>
      </w:pPr>
      <w:r>
        <w:rPr>
          <w:i/>
          <w:sz w:val="16"/>
        </w:rPr>
        <w:t>Promotion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tenure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guidelines</w:t>
      </w:r>
      <w:r>
        <w:rPr>
          <w:sz w:val="16"/>
        </w:rPr>
        <w:t>.</w:t>
      </w:r>
      <w:r>
        <w:rPr>
          <w:spacing w:val="-4"/>
          <w:sz w:val="16"/>
        </w:rPr>
        <w:t xml:space="preserve"> </w:t>
      </w:r>
      <w:r>
        <w:rPr>
          <w:sz w:val="16"/>
        </w:rPr>
        <w:t>(2017,</w:t>
      </w:r>
      <w:r>
        <w:rPr>
          <w:spacing w:val="-4"/>
          <w:sz w:val="16"/>
        </w:rPr>
        <w:t xml:space="preserve"> </w:t>
      </w:r>
      <w:r>
        <w:rPr>
          <w:sz w:val="16"/>
        </w:rPr>
        <w:t>May</w:t>
      </w:r>
      <w:r>
        <w:rPr>
          <w:spacing w:val="-3"/>
          <w:sz w:val="16"/>
        </w:rPr>
        <w:t xml:space="preserve"> </w:t>
      </w:r>
      <w:r>
        <w:rPr>
          <w:sz w:val="16"/>
        </w:rPr>
        <w:t>4).</w:t>
      </w:r>
      <w:r>
        <w:rPr>
          <w:spacing w:val="-2"/>
          <w:sz w:val="16"/>
        </w:rPr>
        <w:t xml:space="preserve"> </w:t>
      </w:r>
      <w:r>
        <w:rPr>
          <w:sz w:val="16"/>
        </w:rPr>
        <w:t>Office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Faculty</w:t>
      </w:r>
      <w:r>
        <w:rPr>
          <w:spacing w:val="-3"/>
          <w:sz w:val="16"/>
        </w:rPr>
        <w:t xml:space="preserve"> </w:t>
      </w:r>
      <w:r>
        <w:rPr>
          <w:sz w:val="16"/>
        </w:rPr>
        <w:t>Affairs.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https://facultyaffairs.oregonstate.edu/faculty- </w:t>
      </w:r>
      <w:r>
        <w:rPr>
          <w:spacing w:val="-2"/>
          <w:sz w:val="16"/>
        </w:rPr>
        <w:t>handbook/promotion-and-tenure-guidelines</w:t>
      </w:r>
    </w:p>
    <w:p w14:paraId="349B6704" w14:textId="77777777" w:rsidR="00450AC1" w:rsidRDefault="00000000">
      <w:pPr>
        <w:spacing w:line="480" w:lineRule="auto"/>
        <w:ind w:left="979" w:hanging="440"/>
        <w:rPr>
          <w:sz w:val="16"/>
        </w:rPr>
      </w:pPr>
      <w:r>
        <w:rPr>
          <w:i/>
          <w:sz w:val="16"/>
        </w:rPr>
        <w:t>Promotion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tenure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toolkit</w:t>
      </w:r>
      <w:r>
        <w:rPr>
          <w:sz w:val="16"/>
        </w:rPr>
        <w:t>.</w:t>
      </w:r>
      <w:r>
        <w:rPr>
          <w:spacing w:val="-4"/>
          <w:sz w:val="16"/>
        </w:rPr>
        <w:t xml:space="preserve"> </w:t>
      </w:r>
      <w:r>
        <w:rPr>
          <w:sz w:val="16"/>
        </w:rPr>
        <w:t>(2009,</w:t>
      </w:r>
      <w:r>
        <w:rPr>
          <w:spacing w:val="-4"/>
          <w:sz w:val="16"/>
        </w:rPr>
        <w:t xml:space="preserve"> </w:t>
      </w:r>
      <w:r>
        <w:rPr>
          <w:sz w:val="16"/>
        </w:rPr>
        <w:t>July</w:t>
      </w:r>
      <w:r>
        <w:rPr>
          <w:spacing w:val="-3"/>
          <w:sz w:val="16"/>
        </w:rPr>
        <w:t xml:space="preserve"> </w:t>
      </w:r>
      <w:r>
        <w:rPr>
          <w:sz w:val="16"/>
        </w:rPr>
        <w:t>1).</w:t>
      </w:r>
      <w:r>
        <w:rPr>
          <w:spacing w:val="-4"/>
          <w:sz w:val="16"/>
        </w:rPr>
        <w:t xml:space="preserve"> </w:t>
      </w:r>
      <w:r>
        <w:rPr>
          <w:sz w:val="16"/>
        </w:rPr>
        <w:t>UW</w:t>
      </w:r>
      <w:r>
        <w:rPr>
          <w:spacing w:val="-3"/>
          <w:sz w:val="16"/>
        </w:rPr>
        <w:t xml:space="preserve"> </w:t>
      </w:r>
      <w:r>
        <w:rPr>
          <w:sz w:val="16"/>
        </w:rPr>
        <w:t>College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Engineering.</w:t>
      </w:r>
      <w:r>
        <w:rPr>
          <w:spacing w:val="-4"/>
          <w:sz w:val="16"/>
        </w:rPr>
        <w:t xml:space="preserve"> </w:t>
      </w:r>
      <w:r>
        <w:rPr>
          <w:sz w:val="16"/>
        </w:rPr>
        <w:t>https</w:t>
      </w:r>
      <w:hyperlink r:id="rId7">
        <w:r>
          <w:rPr>
            <w:sz w:val="16"/>
          </w:rPr>
          <w:t>://www.engr</w:t>
        </w:r>
      </w:hyperlink>
      <w:r>
        <w:rPr>
          <w:sz w:val="16"/>
        </w:rPr>
        <w:t>.</w:t>
      </w:r>
      <w:hyperlink r:id="rId8">
        <w:r>
          <w:rPr>
            <w:sz w:val="16"/>
          </w:rPr>
          <w:t>was</w:t>
        </w:r>
      </w:hyperlink>
      <w:r>
        <w:rPr>
          <w:sz w:val="16"/>
        </w:rPr>
        <w:t>hi</w:t>
      </w:r>
      <w:hyperlink r:id="rId9">
        <w:r>
          <w:rPr>
            <w:sz w:val="16"/>
          </w:rPr>
          <w:t>ngton.edu/mycoe/faculty/pt-</w:t>
        </w:r>
      </w:hyperlink>
      <w:r>
        <w:rPr>
          <w:sz w:val="16"/>
        </w:rPr>
        <w:t xml:space="preserve"> </w:t>
      </w:r>
      <w:r>
        <w:rPr>
          <w:spacing w:val="-2"/>
          <w:sz w:val="16"/>
        </w:rPr>
        <w:t>toolkit</w:t>
      </w:r>
    </w:p>
    <w:sectPr w:rsidR="00450AC1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67D"/>
    <w:multiLevelType w:val="hybridMultilevel"/>
    <w:tmpl w:val="8ABE12F6"/>
    <w:lvl w:ilvl="0" w:tplc="B4ACA3F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AB9864C4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124C6004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EF842E5A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88AA5602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17821F24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F3024276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36DAC5A8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322C46FA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5E41A81"/>
    <w:multiLevelType w:val="hybridMultilevel"/>
    <w:tmpl w:val="EF88CCC6"/>
    <w:lvl w:ilvl="0" w:tplc="7F40513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22AEC06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64AA5776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BF12B0B4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73E473C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5DA29962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C9821152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C5E8F572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A9B639BE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 w16cid:durableId="815415378">
    <w:abstractNumId w:val="1"/>
  </w:num>
  <w:num w:numId="2" w16cid:durableId="1547448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C1"/>
    <w:rsid w:val="00450AC1"/>
    <w:rsid w:val="00D61D47"/>
    <w:rsid w:val="00EC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F144E6"/>
  <w15:docId w15:val="{F4FC1B57-B97F-B84C-B558-038E1AD1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1"/>
      <w:ind w:left="97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r.washington.edu/mycoe/faculty/pt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r.washington.edu/mycoe/faculty/pt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r.washington.edu/mycoe/faculty/pt-toolk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acultyaffairs.oregonstate.edu/faculty-handbook/promotion-and-tenure-guidelin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gr.washington.edu/mycoe/faculty/pt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Isler, Malika D.</dc:creator>
  <cp:lastModifiedBy>Hardy, Joelle</cp:lastModifiedBy>
  <cp:revision>2</cp:revision>
  <dcterms:created xsi:type="dcterms:W3CDTF">2023-01-25T17:24:00Z</dcterms:created>
  <dcterms:modified xsi:type="dcterms:W3CDTF">2023-01-25T17:24:00Z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2023-01-25T00:00:00Z</vt:filetime>
  </property>
  <property fmtid="{D5CDD505-2E9C-101B-9397-08002B2CF9AE}" pid="5" name="Producer">
    <vt:lpwstr>Adobe PDF Library 20.9.95</vt:lpwstr>
  </property>
  <property fmtid="{D5CDD505-2E9C-101B-9397-08002B2CF9AE}" pid="6" name="SourceModified">
    <vt:lpwstr>D:20200728024316</vt:lpwstr>
  </property>
</Properties>
</file>