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B9" w:rsidRPr="009015B4" w:rsidRDefault="007E01D6" w:rsidP="00324CB9">
      <w:pPr>
        <w:pStyle w:val="Heading1"/>
        <w:numPr>
          <w:ilvl w:val="0"/>
          <w:numId w:val="0"/>
        </w:numPr>
      </w:pPr>
      <w:bookmarkStart w:id="0" w:name="_Toc429999068"/>
      <w:r>
        <w:t xml:space="preserve">Recommended Reading </w:t>
      </w:r>
      <w:bookmarkEnd w:id="0"/>
    </w:p>
    <w:p w:rsidR="00324CB9" w:rsidRPr="00324CB9" w:rsidRDefault="00324CB9" w:rsidP="00324CB9">
      <w:pPr>
        <w:rPr>
          <w:rFonts w:ascii="Century Gothic" w:hAnsi="Century Gothic"/>
          <w:b/>
          <w:bCs/>
        </w:rPr>
      </w:pPr>
      <w:r w:rsidRPr="00324CB9">
        <w:rPr>
          <w:rFonts w:ascii="Century Gothic" w:hAnsi="Century Gothic"/>
          <w:b/>
          <w:bCs/>
        </w:rPr>
        <w:t>Community Engagement</w:t>
      </w:r>
    </w:p>
    <w:p w:rsidR="00324CB9" w:rsidRPr="00324CB9" w:rsidRDefault="00324CB9" w:rsidP="00324CB9">
      <w:pPr>
        <w:rPr>
          <w:rFonts w:ascii="Century Gothic" w:hAnsi="Century Gothic"/>
          <w:b/>
          <w:bCs/>
        </w:rPr>
      </w:pPr>
      <w:proofErr w:type="spellStart"/>
      <w:r w:rsidRPr="00324CB9">
        <w:rPr>
          <w:rFonts w:ascii="Century Gothic" w:hAnsi="Century Gothic"/>
        </w:rPr>
        <w:t>Leggo</w:t>
      </w:r>
      <w:proofErr w:type="spellEnd"/>
      <w:r w:rsidRPr="00324CB9">
        <w:rPr>
          <w:rFonts w:ascii="Century Gothic" w:hAnsi="Century Gothic"/>
        </w:rPr>
        <w:t xml:space="preserve">, Carl. 2008. “Narrative Inquiry: Attending to the Art of Discourse.” </w:t>
      </w:r>
      <w:r w:rsidRPr="00324CB9">
        <w:rPr>
          <w:rFonts w:ascii="Century Gothic" w:hAnsi="Century Gothic"/>
          <w:i/>
          <w:iCs/>
        </w:rPr>
        <w:t>Language and Literacy</w:t>
      </w:r>
      <w:r w:rsidRPr="00324CB9">
        <w:rPr>
          <w:rFonts w:ascii="Century Gothic" w:hAnsi="Century Gothic"/>
        </w:rPr>
        <w:t xml:space="preserve"> 10 (1): 1–21.</w:t>
      </w:r>
    </w:p>
    <w:p w:rsidR="007E01D6" w:rsidRPr="00324CB9" w:rsidRDefault="007E01D6" w:rsidP="007E01D6">
      <w:pPr>
        <w:rPr>
          <w:rFonts w:ascii="Century Gothic" w:hAnsi="Century Gothic"/>
          <w:b/>
          <w:bCs/>
        </w:rPr>
      </w:pPr>
      <w:r w:rsidRPr="00324CB9">
        <w:rPr>
          <w:rFonts w:ascii="Century Gothic" w:hAnsi="Century Gothic"/>
          <w:b/>
          <w:bCs/>
        </w:rPr>
        <w:t>Course Design and Assessment</w:t>
      </w:r>
    </w:p>
    <w:p w:rsidR="007E01D6" w:rsidRDefault="007E01D6" w:rsidP="007E01D6">
      <w:pPr>
        <w:rPr>
          <w:rFonts w:ascii="Century Gothic" w:hAnsi="Century Gothic"/>
        </w:rPr>
      </w:pPr>
      <w:r>
        <w:rPr>
          <w:rFonts w:ascii="Century Gothic" w:hAnsi="Century Gothic"/>
        </w:rPr>
        <w:t>Forum BEVI Project.</w:t>
      </w:r>
      <w:r w:rsidRPr="00551F15">
        <w:rPr>
          <w:rFonts w:ascii="Century Gothic" w:hAnsi="Century Gothic"/>
        </w:rPr>
        <w:t xml:space="preserve"> Forum on Education Abroad. (</w:t>
      </w:r>
      <w:proofErr w:type="spellStart"/>
      <w:r w:rsidRPr="00551F15">
        <w:rPr>
          <w:rFonts w:ascii="Century Gothic" w:hAnsi="Century Gothic"/>
        </w:rPr>
        <w:t>n.d.</w:t>
      </w:r>
      <w:proofErr w:type="spellEnd"/>
      <w:r w:rsidRPr="00551F15">
        <w:rPr>
          <w:rFonts w:ascii="Century Gothic" w:hAnsi="Century Gothic"/>
        </w:rPr>
        <w:t>). Retrieved July 17, 2015, from http://www.forumea.org/research-bevi-project</w:t>
      </w:r>
    </w:p>
    <w:p w:rsidR="00167464" w:rsidRDefault="00167464" w:rsidP="00167464">
      <w:pPr>
        <w:rPr>
          <w:rFonts w:ascii="Century Gothic" w:hAnsi="Century Gothic"/>
        </w:rPr>
      </w:pPr>
      <w:proofErr w:type="gramStart"/>
      <w:r w:rsidRPr="00167464">
        <w:rPr>
          <w:rFonts w:ascii="Century Gothic" w:hAnsi="Century Gothic"/>
        </w:rPr>
        <w:t>Hemming Lou, K.</w:t>
      </w:r>
      <w:r>
        <w:rPr>
          <w:rFonts w:ascii="Century Gothic" w:hAnsi="Century Gothic"/>
        </w:rPr>
        <w:t xml:space="preserve">, </w:t>
      </w:r>
      <w:r w:rsidRPr="00167464">
        <w:rPr>
          <w:rFonts w:ascii="Century Gothic" w:hAnsi="Century Gothic"/>
        </w:rPr>
        <w:t>Paige, R. M., &amp;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Vande</w:t>
      </w:r>
      <w:proofErr w:type="spellEnd"/>
      <w:r>
        <w:rPr>
          <w:rFonts w:ascii="Century Gothic" w:hAnsi="Century Gothic"/>
        </w:rPr>
        <w:t xml:space="preserve"> Berg, M. </w:t>
      </w:r>
      <w:r w:rsidRPr="00167464">
        <w:rPr>
          <w:rFonts w:ascii="Century Gothic" w:hAnsi="Century Gothic"/>
        </w:rPr>
        <w:t>(2012).</w:t>
      </w:r>
      <w:proofErr w:type="gramEnd"/>
      <w:r w:rsidRPr="00167464">
        <w:rPr>
          <w:rFonts w:ascii="Century Gothic" w:hAnsi="Century Gothic"/>
        </w:rPr>
        <w:t xml:space="preserve"> Student Learning Abroad: What Our Students are Learning, What They </w:t>
      </w:r>
      <w:proofErr w:type="gramStart"/>
      <w:r w:rsidRPr="00167464">
        <w:rPr>
          <w:rFonts w:ascii="Century Gothic" w:hAnsi="Century Gothic"/>
        </w:rPr>
        <w:t>are</w:t>
      </w:r>
      <w:proofErr w:type="gramEnd"/>
      <w:r w:rsidRPr="00167464">
        <w:rPr>
          <w:rFonts w:ascii="Century Gothic" w:hAnsi="Century Gothic"/>
        </w:rPr>
        <w:t xml:space="preserve"> Not, and What We Can Do About It (1st ed.). Sterling, VA: Stylus.</w:t>
      </w:r>
    </w:p>
    <w:p w:rsidR="007E01D6" w:rsidRPr="00324CB9" w:rsidRDefault="007E01D6" w:rsidP="007E01D6">
      <w:pPr>
        <w:rPr>
          <w:rFonts w:ascii="Century Gothic" w:hAnsi="Century Gothic"/>
        </w:rPr>
      </w:pPr>
      <w:proofErr w:type="spellStart"/>
      <w:proofErr w:type="gramStart"/>
      <w:r w:rsidRPr="00324CB9">
        <w:rPr>
          <w:rFonts w:ascii="Century Gothic" w:hAnsi="Century Gothic"/>
        </w:rPr>
        <w:t>Intolubbe-Chmil</w:t>
      </w:r>
      <w:proofErr w:type="spellEnd"/>
      <w:r w:rsidRPr="00324CB9">
        <w:rPr>
          <w:rFonts w:ascii="Century Gothic" w:hAnsi="Century Gothic"/>
        </w:rPr>
        <w:t xml:space="preserve">, Loren, Carol A. </w:t>
      </w:r>
      <w:proofErr w:type="spellStart"/>
      <w:r w:rsidRPr="00324CB9">
        <w:rPr>
          <w:rFonts w:ascii="Century Gothic" w:hAnsi="Century Gothic"/>
        </w:rPr>
        <w:t>Spreen</w:t>
      </w:r>
      <w:proofErr w:type="spellEnd"/>
      <w:r w:rsidRPr="00324CB9">
        <w:rPr>
          <w:rFonts w:ascii="Century Gothic" w:hAnsi="Century Gothic"/>
        </w:rPr>
        <w:t>, and Robert Swap.</w:t>
      </w:r>
      <w:proofErr w:type="gramEnd"/>
      <w:r w:rsidRPr="00324CB9">
        <w:rPr>
          <w:rFonts w:ascii="Century Gothic" w:hAnsi="Century Gothic"/>
        </w:rPr>
        <w:t xml:space="preserve"> 2012. “Transformative Learning: Participant Perspectives on International Experiential Education.” </w:t>
      </w:r>
      <w:r w:rsidRPr="00324CB9">
        <w:rPr>
          <w:rFonts w:ascii="Century Gothic" w:hAnsi="Century Gothic"/>
          <w:i/>
          <w:iCs/>
        </w:rPr>
        <w:t>Journal of Research in International Education</w:t>
      </w:r>
      <w:r w:rsidRPr="00324CB9">
        <w:rPr>
          <w:rFonts w:ascii="Century Gothic" w:hAnsi="Century Gothic"/>
        </w:rPr>
        <w:t xml:space="preserve"> 11 (2) (August): 165–180. </w:t>
      </w:r>
      <w:r w:rsidRPr="007E01D6">
        <w:rPr>
          <w:rFonts w:ascii="Century Gothic" w:hAnsi="Century Gothic"/>
        </w:rPr>
        <w:t>http://jri.sagepub.com/content/11/2/165.full.pdf+html</w:t>
      </w:r>
      <w:r w:rsidRPr="00324CB9">
        <w:rPr>
          <w:rFonts w:ascii="Century Gothic" w:hAnsi="Century Gothic"/>
        </w:rPr>
        <w:t>.</w:t>
      </w:r>
    </w:p>
    <w:p w:rsidR="007E01D6" w:rsidRDefault="007E01D6" w:rsidP="007E01D6">
      <w:pPr>
        <w:rPr>
          <w:rFonts w:ascii="Century Gothic" w:hAnsi="Century Gothic"/>
        </w:rPr>
      </w:pPr>
      <w:r w:rsidRPr="00B60FEA">
        <w:rPr>
          <w:rFonts w:ascii="Century Gothic" w:hAnsi="Century Gothic"/>
        </w:rPr>
        <w:t xml:space="preserve">Tomlinson, C. (2015). Teaching for Excellence in Academically Diverse Classrooms. Society, 52(3), 203–209. </w:t>
      </w:r>
    </w:p>
    <w:p w:rsidR="007E01D6" w:rsidRDefault="007E01D6" w:rsidP="007E01D6">
      <w:pPr>
        <w:rPr>
          <w:rFonts w:ascii="Century Gothic" w:hAnsi="Century Gothic"/>
        </w:rPr>
      </w:pPr>
      <w:r w:rsidRPr="00B60FEA">
        <w:rPr>
          <w:rFonts w:ascii="Century Gothic" w:hAnsi="Century Gothic"/>
        </w:rPr>
        <w:t xml:space="preserve">Wiggins, G. P., &amp; </w:t>
      </w:r>
      <w:proofErr w:type="spellStart"/>
      <w:r w:rsidRPr="00B60FEA">
        <w:rPr>
          <w:rFonts w:ascii="Century Gothic" w:hAnsi="Century Gothic"/>
        </w:rPr>
        <w:t>McTighe</w:t>
      </w:r>
      <w:proofErr w:type="spellEnd"/>
      <w:r w:rsidRPr="00B60FEA">
        <w:rPr>
          <w:rFonts w:ascii="Century Gothic" w:hAnsi="Century Gothic"/>
        </w:rPr>
        <w:t>, J. (2011). The understanding by design guide to creating high-quality</w:t>
      </w:r>
      <w:r w:rsidR="0016179E">
        <w:rPr>
          <w:rFonts w:ascii="Century Gothic" w:hAnsi="Century Gothic"/>
        </w:rPr>
        <w:t xml:space="preserve"> </w:t>
      </w:r>
      <w:r w:rsidRPr="00B60FEA">
        <w:rPr>
          <w:rFonts w:ascii="Century Gothic" w:hAnsi="Century Gothic"/>
        </w:rPr>
        <w:t xml:space="preserve">units. Alexandria, </w:t>
      </w:r>
      <w:proofErr w:type="spellStart"/>
      <w:proofErr w:type="gramStart"/>
      <w:r w:rsidRPr="00B60FEA">
        <w:rPr>
          <w:rFonts w:ascii="Century Gothic" w:hAnsi="Century Gothic"/>
        </w:rPr>
        <w:t>Va</w:t>
      </w:r>
      <w:proofErr w:type="spellEnd"/>
      <w:proofErr w:type="gramEnd"/>
      <w:r w:rsidRPr="00B60FEA">
        <w:rPr>
          <w:rFonts w:ascii="Century Gothic" w:hAnsi="Century Gothic"/>
        </w:rPr>
        <w:t xml:space="preserve">: ASCD. </w:t>
      </w:r>
    </w:p>
    <w:p w:rsidR="007E01D6" w:rsidRDefault="007E01D6" w:rsidP="007E01D6">
      <w:pPr>
        <w:rPr>
          <w:rFonts w:ascii="Century Gothic" w:hAnsi="Century Gothic"/>
          <w:b/>
          <w:bCs/>
        </w:rPr>
      </w:pPr>
      <w:r w:rsidRPr="00324CB9">
        <w:rPr>
          <w:rFonts w:ascii="Century Gothic" w:hAnsi="Century Gothic"/>
          <w:b/>
          <w:bCs/>
        </w:rPr>
        <w:t>Higher Education Contemporary Issues</w:t>
      </w:r>
    </w:p>
    <w:p w:rsidR="006F4D68" w:rsidRPr="006F4D68" w:rsidRDefault="006F4D68" w:rsidP="007E01D6">
      <w:pPr>
        <w:rPr>
          <w:rFonts w:ascii="Century Gothic" w:hAnsi="Century Gothic"/>
          <w:bCs/>
        </w:rPr>
      </w:pPr>
      <w:proofErr w:type="spellStart"/>
      <w:r w:rsidRPr="006F4D68">
        <w:rPr>
          <w:rFonts w:ascii="Century Gothic" w:hAnsi="Century Gothic"/>
          <w:bCs/>
        </w:rPr>
        <w:t>Weick</w:t>
      </w:r>
      <w:proofErr w:type="spellEnd"/>
      <w:r w:rsidRPr="006F4D68">
        <w:rPr>
          <w:rFonts w:ascii="Century Gothic" w:hAnsi="Century Gothic"/>
          <w:bCs/>
        </w:rPr>
        <w:t xml:space="preserve">, K. (1983). Educational Organizations as Loosely Coupled Systems. In The Dynamics of Organizational Change in Education (1st </w:t>
      </w:r>
      <w:proofErr w:type="gramStart"/>
      <w:r w:rsidRPr="006F4D68">
        <w:rPr>
          <w:rFonts w:ascii="Century Gothic" w:hAnsi="Century Gothic"/>
          <w:bCs/>
        </w:rPr>
        <w:t>ed</w:t>
      </w:r>
      <w:proofErr w:type="gramEnd"/>
      <w:r w:rsidRPr="006F4D68">
        <w:rPr>
          <w:rFonts w:ascii="Century Gothic" w:hAnsi="Century Gothic"/>
          <w:bCs/>
        </w:rPr>
        <w:t xml:space="preserve">.). Berkeley, California: </w:t>
      </w:r>
      <w:proofErr w:type="spellStart"/>
      <w:r w:rsidRPr="006F4D68">
        <w:rPr>
          <w:rFonts w:ascii="Century Gothic" w:hAnsi="Century Gothic"/>
          <w:bCs/>
        </w:rPr>
        <w:t>MCCutchan</w:t>
      </w:r>
      <w:proofErr w:type="spellEnd"/>
      <w:r w:rsidRPr="006F4D68">
        <w:rPr>
          <w:rFonts w:ascii="Century Gothic" w:hAnsi="Century Gothic"/>
          <w:bCs/>
        </w:rPr>
        <w:t xml:space="preserve"> Publishing Corporation.</w:t>
      </w:r>
    </w:p>
    <w:p w:rsidR="007E01D6" w:rsidRPr="00324CB9" w:rsidRDefault="007E01D6" w:rsidP="007E01D6">
      <w:pPr>
        <w:rPr>
          <w:rFonts w:ascii="Century Gothic" w:hAnsi="Century Gothic"/>
        </w:rPr>
      </w:pPr>
      <w:r w:rsidRPr="00324CB9">
        <w:rPr>
          <w:rFonts w:ascii="Century Gothic" w:hAnsi="Century Gothic"/>
        </w:rPr>
        <w:t xml:space="preserve">Lang, James. 2013. “Why They Don’t Apply What They've Learned, Parts 1-4.” </w:t>
      </w:r>
      <w:r w:rsidRPr="00324CB9">
        <w:rPr>
          <w:rFonts w:ascii="Century Gothic" w:hAnsi="Century Gothic"/>
          <w:i/>
          <w:iCs/>
        </w:rPr>
        <w:t>The Chronicle of Higher Education</w:t>
      </w:r>
      <w:r w:rsidRPr="00324CB9">
        <w:rPr>
          <w:rFonts w:ascii="Century Gothic" w:hAnsi="Century Gothic"/>
        </w:rPr>
        <w:t>, January 21, sec. Do Your Job Better</w:t>
      </w:r>
      <w:r w:rsidR="006F4D68">
        <w:rPr>
          <w:rFonts w:ascii="Century Gothic" w:hAnsi="Century Gothic"/>
        </w:rPr>
        <w:t>,</w:t>
      </w:r>
      <w:r w:rsidRPr="00324CB9">
        <w:rPr>
          <w:rFonts w:ascii="Century Gothic" w:hAnsi="Century Gothic"/>
        </w:rPr>
        <w:t xml:space="preserve"> </w:t>
      </w:r>
      <w:r w:rsidRPr="007E01D6">
        <w:rPr>
          <w:rFonts w:ascii="Century Gothic" w:hAnsi="Century Gothic"/>
        </w:rPr>
        <w:t>http://chronicle.com/article/Why-Dont-They-Apply-What/136753/</w:t>
      </w:r>
      <w:r w:rsidRPr="00324CB9">
        <w:rPr>
          <w:rFonts w:ascii="Century Gothic" w:hAnsi="Century Gothic"/>
        </w:rPr>
        <w:t>.</w:t>
      </w:r>
    </w:p>
    <w:p w:rsidR="00324CB9" w:rsidRPr="00324CB9" w:rsidRDefault="00324CB9" w:rsidP="00324CB9">
      <w:pPr>
        <w:rPr>
          <w:rFonts w:ascii="Century Gothic" w:hAnsi="Century Gothic"/>
          <w:b/>
          <w:bCs/>
        </w:rPr>
      </w:pPr>
      <w:r w:rsidRPr="00324CB9">
        <w:rPr>
          <w:rFonts w:ascii="Century Gothic" w:hAnsi="Century Gothic"/>
          <w:b/>
          <w:bCs/>
        </w:rPr>
        <w:t>Intercultural Communication</w:t>
      </w:r>
    </w:p>
    <w:p w:rsidR="00324CB9" w:rsidRPr="00324CB9" w:rsidRDefault="00324CB9" w:rsidP="00324CB9">
      <w:pPr>
        <w:rPr>
          <w:rFonts w:ascii="Century Gothic" w:hAnsi="Century Gothic"/>
        </w:rPr>
      </w:pPr>
      <w:r w:rsidRPr="00324CB9">
        <w:rPr>
          <w:rFonts w:ascii="Century Gothic" w:hAnsi="Century Gothic"/>
        </w:rPr>
        <w:t xml:space="preserve">Bennett, Milton. 1998. “Intercultural Communication: A Current Perspective.” In </w:t>
      </w:r>
      <w:r w:rsidRPr="00324CB9">
        <w:rPr>
          <w:rFonts w:ascii="Century Gothic" w:hAnsi="Century Gothic"/>
          <w:i/>
          <w:iCs/>
        </w:rPr>
        <w:t>Basic Concepts of Intercultural Communication</w:t>
      </w:r>
      <w:r w:rsidRPr="00324CB9">
        <w:rPr>
          <w:rFonts w:ascii="Century Gothic" w:hAnsi="Century Gothic"/>
        </w:rPr>
        <w:t>, 1st ed., 1–34. Yarmouth, ME: Intercultural Press.</w:t>
      </w:r>
    </w:p>
    <w:p w:rsidR="00324CB9" w:rsidRPr="00324CB9" w:rsidRDefault="00324CB9" w:rsidP="00324CB9">
      <w:pPr>
        <w:rPr>
          <w:rFonts w:ascii="Century Gothic" w:hAnsi="Century Gothic"/>
        </w:rPr>
      </w:pPr>
      <w:proofErr w:type="spellStart"/>
      <w:r w:rsidRPr="00324CB9">
        <w:rPr>
          <w:rFonts w:ascii="Century Gothic" w:hAnsi="Century Gothic"/>
        </w:rPr>
        <w:t>Deardorff</w:t>
      </w:r>
      <w:proofErr w:type="spellEnd"/>
      <w:r w:rsidRPr="00324CB9">
        <w:rPr>
          <w:rFonts w:ascii="Century Gothic" w:hAnsi="Century Gothic"/>
        </w:rPr>
        <w:t>, Darla K. 2010. “Theory Reflections: Intercultural Competence Framework/</w:t>
      </w:r>
      <w:proofErr w:type="gramStart"/>
      <w:r w:rsidRPr="00324CB9">
        <w:rPr>
          <w:rFonts w:ascii="Century Gothic" w:hAnsi="Century Gothic"/>
        </w:rPr>
        <w:t>Model ”</w:t>
      </w:r>
      <w:proofErr w:type="gramEnd"/>
      <w:r w:rsidRPr="00324CB9">
        <w:rPr>
          <w:rFonts w:ascii="Century Gothic" w:hAnsi="Century Gothic"/>
        </w:rPr>
        <w:t xml:space="preserve">. Presentation presented at the NAFSA. </w:t>
      </w:r>
      <w:r w:rsidRPr="007E01D6">
        <w:rPr>
          <w:rFonts w:ascii="Century Gothic" w:hAnsi="Century Gothic"/>
        </w:rPr>
        <w:t>http://www.nafsa.org/_/file/_/theory_connections_intercultural_competence.pdf</w:t>
      </w:r>
      <w:r w:rsidRPr="00324CB9">
        <w:rPr>
          <w:rFonts w:ascii="Century Gothic" w:hAnsi="Century Gothic"/>
        </w:rPr>
        <w:t>.</w:t>
      </w:r>
    </w:p>
    <w:p w:rsidR="007E01D6" w:rsidRPr="00324CB9" w:rsidRDefault="007E01D6" w:rsidP="007E01D6">
      <w:pPr>
        <w:rPr>
          <w:rFonts w:ascii="Century Gothic" w:hAnsi="Century Gothic"/>
          <w:b/>
          <w:bCs/>
        </w:rPr>
      </w:pPr>
      <w:r w:rsidRPr="00324CB9">
        <w:rPr>
          <w:rFonts w:ascii="Century Gothic" w:hAnsi="Century Gothic"/>
          <w:b/>
          <w:bCs/>
        </w:rPr>
        <w:t>Understanding Elements of Culture</w:t>
      </w:r>
    </w:p>
    <w:p w:rsidR="007E01D6" w:rsidRPr="00324CB9" w:rsidRDefault="007E01D6" w:rsidP="007E01D6">
      <w:pPr>
        <w:rPr>
          <w:rFonts w:ascii="Century Gothic" w:hAnsi="Century Gothic"/>
          <w:b/>
          <w:bCs/>
        </w:rPr>
      </w:pPr>
      <w:r w:rsidRPr="00324CB9">
        <w:rPr>
          <w:rFonts w:ascii="Century Gothic" w:hAnsi="Century Gothic"/>
        </w:rPr>
        <w:t xml:space="preserve">Bourdieu, Pierre.  Chapter 2.  </w:t>
      </w:r>
      <w:r w:rsidRPr="00324CB9">
        <w:rPr>
          <w:rFonts w:ascii="Century Gothic" w:hAnsi="Century Gothic"/>
          <w:i/>
          <w:iCs/>
        </w:rPr>
        <w:t>In</w:t>
      </w:r>
      <w:r w:rsidRPr="00324CB9">
        <w:rPr>
          <w:rFonts w:ascii="Century Gothic" w:hAnsi="Century Gothic"/>
        </w:rPr>
        <w:t xml:space="preserve"> Outline of a theory of practice.  Translated by R. Nice.  Cambridge University Press, 1977.</w:t>
      </w:r>
    </w:p>
    <w:p w:rsidR="007E01D6" w:rsidRDefault="007E01D6" w:rsidP="007E01D6">
      <w:pPr>
        <w:rPr>
          <w:rFonts w:ascii="Century Gothic" w:hAnsi="Century Gothic"/>
        </w:rPr>
      </w:pPr>
      <w:r w:rsidRPr="00324CB9">
        <w:rPr>
          <w:rFonts w:ascii="Century Gothic" w:hAnsi="Century Gothic"/>
        </w:rPr>
        <w:t xml:space="preserve">Delaney, Carole.  "Disorientation and Orientation."  </w:t>
      </w:r>
      <w:r w:rsidRPr="00324CB9">
        <w:rPr>
          <w:rFonts w:ascii="Century Gothic" w:hAnsi="Century Gothic"/>
          <w:i/>
          <w:iCs/>
        </w:rPr>
        <w:t>In</w:t>
      </w:r>
      <w:r w:rsidRPr="00324CB9">
        <w:rPr>
          <w:rFonts w:ascii="Century Gothic" w:hAnsi="Century Gothic"/>
        </w:rPr>
        <w:t xml:space="preserve"> Investigating Culture: An Experiential Introduction to Anthropology.  Wiley Blackwell, 2011.  </w:t>
      </w:r>
      <w:proofErr w:type="gramStart"/>
      <w:r w:rsidRPr="00324CB9">
        <w:rPr>
          <w:rFonts w:ascii="Century Gothic" w:hAnsi="Century Gothic"/>
        </w:rPr>
        <w:t>pp.1-25</w:t>
      </w:r>
      <w:proofErr w:type="gramEnd"/>
      <w:r w:rsidRPr="00324CB9">
        <w:rPr>
          <w:rFonts w:ascii="Century Gothic" w:hAnsi="Century Gothic"/>
        </w:rPr>
        <w:t>.</w:t>
      </w:r>
    </w:p>
    <w:p w:rsidR="007E01D6" w:rsidRDefault="007E01D6" w:rsidP="007E01D6">
      <w:pPr>
        <w:rPr>
          <w:rFonts w:ascii="Century Gothic" w:hAnsi="Century Gothic"/>
        </w:rPr>
      </w:pPr>
      <w:r w:rsidRPr="009A2DE0">
        <w:rPr>
          <w:rFonts w:ascii="Century Gothic" w:hAnsi="Century Gothic"/>
        </w:rPr>
        <w:t xml:space="preserve">Starr, J., &amp; Wang, C. (2015). Making Culture Visible [Online Course]. Retrieved July 10, 2015, from </w:t>
      </w:r>
      <w:r w:rsidRPr="007E01D6">
        <w:rPr>
          <w:rFonts w:ascii="Century Gothic" w:hAnsi="Century Gothic"/>
        </w:rPr>
        <w:t>https://coreculturevisible.wordpress.com/syllabus/</w:t>
      </w:r>
    </w:p>
    <w:p w:rsidR="00324CB9" w:rsidRDefault="00324CB9" w:rsidP="00324CB9">
      <w:pPr>
        <w:rPr>
          <w:rFonts w:ascii="Century Gothic" w:hAnsi="Century Gothic"/>
        </w:rPr>
      </w:pPr>
      <w:bookmarkStart w:id="1" w:name="_GoBack"/>
      <w:bookmarkEnd w:id="1"/>
    </w:p>
    <w:p w:rsidR="00444D6B" w:rsidRDefault="002126EA">
      <w:r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0C6BBCEB" wp14:editId="1C3B41A4">
                <wp:simplePos x="0" y="0"/>
                <wp:positionH relativeFrom="page">
                  <wp:posOffset>2840990</wp:posOffset>
                </wp:positionH>
                <wp:positionV relativeFrom="paragraph">
                  <wp:posOffset>3394075</wp:posOffset>
                </wp:positionV>
                <wp:extent cx="6713855" cy="1403985"/>
                <wp:effectExtent l="0" t="0" r="5397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713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6EA" w:rsidRPr="002126EA" w:rsidRDefault="002126EA" w:rsidP="002126E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 w:rsidRPr="002126EA">
                              <w:rPr>
                                <w:i/>
                                <w:iCs/>
                                <w:color w:val="5B9BD5" w:themeColor="accent1"/>
                                <w:sz w:val="48"/>
                                <w:szCs w:val="48"/>
                              </w:rPr>
                              <w:t>IFSA-Butler C&amp;C Program Logic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7pt;margin-top:267.25pt;width:528.65pt;height:110.55pt;rotation:90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" filled="f" stroked="f">
                <v:textbox style="mso-fit-shape-to-text:t">
                  <w:txbxContent>
                    <w:p w:rsidR="002126EA" w:rsidRPr="002126EA" w:rsidRDefault="002126EA" w:rsidP="002126E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  <w:sz w:val="48"/>
                          <w:szCs w:val="48"/>
                        </w:rPr>
                      </w:pPr>
                      <w:r w:rsidRPr="002126EA">
                        <w:rPr>
                          <w:i/>
                          <w:iCs/>
                          <w:color w:val="5B9BD5" w:themeColor="accent1"/>
                          <w:sz w:val="48"/>
                          <w:szCs w:val="48"/>
                        </w:rPr>
                        <w:t>IFSA-Butler C&amp;C Program Logic Model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F17BCF1" wp14:editId="0CB83F33">
            <wp:simplePos x="0" y="0"/>
            <wp:positionH relativeFrom="column">
              <wp:posOffset>-1711325</wp:posOffset>
            </wp:positionH>
            <wp:positionV relativeFrom="paragraph">
              <wp:posOffset>2038350</wp:posOffset>
            </wp:positionV>
            <wp:extent cx="7737475" cy="4352925"/>
            <wp:effectExtent l="0" t="3175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37475" cy="435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444D6B" w:rsidSect="009273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31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B9"/>
    <w:rsid w:val="0016179E"/>
    <w:rsid w:val="00167464"/>
    <w:rsid w:val="002126EA"/>
    <w:rsid w:val="00324CB9"/>
    <w:rsid w:val="00444D6B"/>
    <w:rsid w:val="006F4D68"/>
    <w:rsid w:val="007E01D6"/>
    <w:rsid w:val="0092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B9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B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CB9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CB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CB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CB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CB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CB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CB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CB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B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24CB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24CB9"/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CB9"/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CB9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CB9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CB9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C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24CB9"/>
    <w:rPr>
      <w:color w:val="0563C1" w:themeColor="hyperlink"/>
      <w:u w:val="single"/>
    </w:rPr>
  </w:style>
  <w:style w:type="character" w:customStyle="1" w:styleId="style8">
    <w:name w:val="style_8"/>
    <w:basedOn w:val="DefaultParagraphFont"/>
    <w:rsid w:val="00324CB9"/>
  </w:style>
  <w:style w:type="character" w:styleId="FollowedHyperlink">
    <w:name w:val="FollowedHyperlink"/>
    <w:basedOn w:val="DefaultParagraphFont"/>
    <w:uiPriority w:val="99"/>
    <w:semiHidden/>
    <w:unhideWhenUsed/>
    <w:rsid w:val="00324CB9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126E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26E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B9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4CB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CB9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CB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CB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CB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4CB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4CB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4CB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4CB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CB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24CB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24CB9"/>
    <w:rPr>
      <w:rFonts w:asciiTheme="majorHAnsi" w:eastAsiaTheme="majorEastAsia" w:hAnsiTheme="majorHAnsi" w:cstheme="majorBidi"/>
      <w:b/>
      <w:bCs/>
      <w:color w:val="000000" w:themeColor="text1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4CB9"/>
    <w:rPr>
      <w:rFonts w:asciiTheme="majorHAnsi" w:eastAsiaTheme="majorEastAsia" w:hAnsiTheme="majorHAnsi" w:cstheme="majorBidi"/>
      <w:b/>
      <w:bCs/>
      <w:i/>
      <w:iCs/>
      <w:color w:val="000000" w:themeColor="text1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4CB9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4CB9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4CB9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4CB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4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24CB9"/>
    <w:rPr>
      <w:color w:val="0563C1" w:themeColor="hyperlink"/>
      <w:u w:val="single"/>
    </w:rPr>
  </w:style>
  <w:style w:type="character" w:customStyle="1" w:styleId="style8">
    <w:name w:val="style_8"/>
    <w:basedOn w:val="DefaultParagraphFont"/>
    <w:rsid w:val="00324CB9"/>
  </w:style>
  <w:style w:type="character" w:styleId="FollowedHyperlink">
    <w:name w:val="FollowedHyperlink"/>
    <w:basedOn w:val="DefaultParagraphFont"/>
    <w:uiPriority w:val="99"/>
    <w:semiHidden/>
    <w:unhideWhenUsed/>
    <w:rsid w:val="00324CB9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126E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26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Wiley, Jennifer L.(MU-Student)</dc:creator>
  <cp:keywords/>
  <dc:description/>
  <cp:lastModifiedBy>Kris</cp:lastModifiedBy>
  <cp:revision>3</cp:revision>
  <dcterms:created xsi:type="dcterms:W3CDTF">2016-01-19T21:32:00Z</dcterms:created>
  <dcterms:modified xsi:type="dcterms:W3CDTF">2016-02-02T02:37:00Z</dcterms:modified>
</cp:coreProperties>
</file>